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79"/>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6" w:lineRule="exact"/>
        <w:rPr>
          <w:sz w:val="24"/>
          <w:szCs w:val="24"/>
          <w:color w:val="auto"/>
        </w:rPr>
      </w:pPr>
    </w:p>
    <w:p>
      <w:pPr>
        <w:spacing w:after="0" w:line="207" w:lineRule="exact"/>
        <w:tabs>
          <w:tab w:leader="none" w:pos="35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1"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6"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0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E36F1E"/>
        </w:rPr>
        <w:t>HUBSPOT, INC.</w:t>
      </w:r>
    </w:p>
    <w:p>
      <w:pPr>
        <w:spacing w:after="0" w:line="58"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2"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1000" w:right="200" w:hanging="493"/>
        <w:spacing w:after="0" w:line="246"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6" w:lineRule="exact"/>
        <w:rPr>
          <w:rFonts w:ascii="Arial" w:cs="Arial" w:eastAsia="Arial" w:hAnsi="Arial"/>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00" w:hanging="492"/>
        <w:spacing w:after="0" w:line="246" w:lineRule="auto"/>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 w:lineRule="exact"/>
        <w:rPr>
          <w:rFonts w:ascii="MS PGothic" w:cs="MS PGothic" w:eastAsia="MS PGothic" w:hAnsi="MS PGothic"/>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-2581910</wp:posOffset>
            </wp:positionV>
            <wp:extent cx="648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-2324735</wp:posOffset>
            </wp:positionV>
            <wp:extent cx="6489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-1930400</wp:posOffset>
            </wp:positionV>
            <wp:extent cx="6489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-1673225</wp:posOffset>
            </wp:positionV>
            <wp:extent cx="6489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-1416050</wp:posOffset>
            </wp:positionV>
            <wp:extent cx="6489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-687705</wp:posOffset>
            </wp:positionV>
            <wp:extent cx="6489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-430530</wp:posOffset>
            </wp:positionV>
            <wp:extent cx="6489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-173355</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92075</wp:posOffset>
            </wp:positionV>
            <wp:extent cx="6489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 w:name="page2"/>
    <w:bookmarkEnd w:id="1"/>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3122930</wp:posOffset>
            </wp:positionH>
            <wp:positionV relativeFrom="page">
              <wp:posOffset>226060</wp:posOffset>
            </wp:positionV>
            <wp:extent cx="13030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71805"/>
                    </a:xfrm>
                    <a:prstGeom prst="rect">
                      <a:avLst/>
                    </a:prstGeom>
                    <a:noFill/>
                  </pic:spPr>
                </pic:pic>
              </a:graphicData>
            </a:graphic>
          </wp:anchor>
        </w:drawing>
        <w:t>April 24,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 am pleased to invite you to attend the 2020 Annual Meeting of Stockholders (the “Annual Meeting”) of HubSpot, Inc. (“HubSpot”) to be held on Wednesday, June 17, 2020 at 9:00 a.m. Eastern Time at our offices, located at 2 Canal Park, 1</w:t>
      </w:r>
      <w:r>
        <w:rPr>
          <w:rFonts w:ascii="Arial" w:cs="Arial" w:eastAsia="Arial" w:hAnsi="Arial"/>
          <w:sz w:val="15"/>
          <w:szCs w:val="15"/>
          <w:color w:val="auto"/>
        </w:rPr>
        <w:t>st</w:t>
      </w:r>
      <w:r>
        <w:rPr>
          <w:rFonts w:ascii="Arial" w:cs="Arial" w:eastAsia="Arial" w:hAnsi="Arial"/>
          <w:sz w:val="18"/>
          <w:szCs w:val="18"/>
          <w:color w:val="auto"/>
        </w:rPr>
        <w:t xml:space="preserve"> Floor, Cambridge, MA 02141.</w:t>
      </w:r>
    </w:p>
    <w:p>
      <w:pPr>
        <w:spacing w:after="0" w:line="19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Details regarding the meeting and the business to be conducted are more fully described in the accompanying Notice of 2020 Annual Meeting of Stockholders and Proxy Statement. As part of our precautions regarding COVID-19, we are planning for the possibility that the Annual Meeting may be held solely by means of remote communication. If we take this step, we will announce the decision to do so in advance, and details on how to participate will be available on the investor page on our website.</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the Securities and Exchange Commission (“SEC”) rules that allow issuers to furnish proxy materials to stockholders over the Internet, we are posting the proxy materials on the Internet and delivering a notice of the Internet availability of the proxy materials. On or about April 24, 2020, we will begin mailing to our stockholders a Notice of Internet Availability (the “Notice”) containing instructions on how to access or request a copy of our Proxy Statement for the 2020 Annual Meeting of Stockholders and our Annual Report on Form 10-K for the year ended December 31, 2019.</w:t>
      </w:r>
    </w:p>
    <w:p>
      <w:pPr>
        <w:spacing w:after="0" w:line="202"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Your vote is important. Whether or not you plan to attend the Annual Meeting, I hope you will vote as soon as possible. You may vote over the Internet or in person at the Annual Meeting or, if you requested printed copies of proxy materials, you also may vote by mailing a proxy card or voting by telephone. Please review the instructions on the Notice or on the proxy card regarding your voting options.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Thank you for being a HubSpot stockholder. We look forward to seeing you at our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19126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2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842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VOTE IS IMPORTANT</w:t>
      </w:r>
    </w:p>
    <w:p>
      <w:pPr>
        <w:spacing w:after="0" w:line="234" w:lineRule="exact"/>
        <w:rPr>
          <w:sz w:val="20"/>
          <w:szCs w:val="20"/>
          <w:color w:val="auto"/>
        </w:rPr>
      </w:pPr>
    </w:p>
    <w:p>
      <w:pPr>
        <w:ind w:left="440" w:right="480" w:firstLine="441"/>
        <w:spacing w:after="0" w:line="236" w:lineRule="auto"/>
        <w:rPr>
          <w:sz w:val="20"/>
          <w:szCs w:val="20"/>
          <w:color w:val="auto"/>
        </w:rPr>
      </w:pPr>
      <w:r>
        <w:rPr>
          <w:rFonts w:ascii="Arial" w:cs="Arial" w:eastAsia="Arial" w:hAnsi="Arial"/>
          <w:sz w:val="18"/>
          <w:szCs w:val="18"/>
          <w:color w:val="auto"/>
        </w:rPr>
        <w:t>In order to ensure your representation at the meeting, whether or not you plan to attend the meeting, please vote your shares as promptly as possible over the Internet by following the instructions on your Notice or, if you requested printed copies of your proxy materials, by following the instructions on your proxy card. Your participation will help to ensure the presence of a quorum at the meeting and save HubSpot the extra expense associated with additional solicitation. If you hold your shares through a broker, your broker is not permitted to vote on your behalf on (1) the election of directors or (2) the non-binding, advisory vote to approve the compensation of our named executive officers unless you provide specific instructions to the broker by completing and returning any voting instruction form that the broker provides (or following any instructions that allow you to vote your broker-held shares via telephone or the Internet). For your vote to be counted, you will need to communicate your voting decision before the date of the Annual Meeting. Voting your shares in advance will not prevent you from attending the Annual Meeting, revoking your earlier submitted proxy or voting your stock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313"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E36F1E"/>
        </w:rPr>
        <w:drawing>
          <wp:anchor simplePos="0" relativeHeight="251657728" behindDoc="1" locked="0" layoutInCell="0" allowOverlap="1">
            <wp:simplePos x="0" y="0"/>
            <wp:positionH relativeFrom="page">
              <wp:posOffset>3122930</wp:posOffset>
            </wp:positionH>
            <wp:positionV relativeFrom="page">
              <wp:posOffset>226060</wp:posOffset>
            </wp:positionV>
            <wp:extent cx="1303020"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71805"/>
                    </a:xfrm>
                    <a:prstGeom prst="rect">
                      <a:avLst/>
                    </a:prstGeom>
                    <a:noFill/>
                  </pic:spPr>
                </pic:pic>
              </a:graphicData>
            </a:graphic>
          </wp:anchor>
        </w:drawing>
        <w:t>HUBSPOT,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E36F1E"/>
        </w:rPr>
        <w:t>25 First Street</w:t>
      </w:r>
    </w:p>
    <w:p>
      <w:pPr>
        <w:jc w:val="center"/>
        <w:ind w:right="-39"/>
        <w:spacing w:after="0"/>
        <w:rPr>
          <w:sz w:val="20"/>
          <w:szCs w:val="20"/>
          <w:color w:val="auto"/>
        </w:rPr>
      </w:pPr>
      <w:r>
        <w:rPr>
          <w:rFonts w:ascii="Arial" w:cs="Arial" w:eastAsia="Arial" w:hAnsi="Arial"/>
          <w:sz w:val="18"/>
          <w:szCs w:val="18"/>
          <w:b w:val="1"/>
          <w:bCs w:val="1"/>
          <w:color w:val="E36F1E"/>
        </w:rPr>
        <w:t>Cambridge, MA 02141</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E36F1E"/>
        </w:rPr>
        <w:t>NOTICE OF 2020 ANNUAL MEETING OF STOCKHOLDERS</w:t>
      </w:r>
    </w:p>
    <w:p>
      <w:pPr>
        <w:spacing w:after="0" w:line="25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Notice is hereby given that HubSpot, Inc. will hold its 2020 Annual Meeting of Stockholders (the “Annual Meeting”) on Wednesday, June 17, 2020 at 9:00 a.m. Eastern Time at our offices, located at 2 Canal Park, 1</w:t>
      </w:r>
      <w:r>
        <w:rPr>
          <w:rFonts w:ascii="Arial" w:cs="Arial" w:eastAsia="Arial" w:hAnsi="Arial"/>
          <w:sz w:val="15"/>
          <w:szCs w:val="15"/>
          <w:color w:val="auto"/>
        </w:rPr>
        <w:t>st</w:t>
      </w:r>
      <w:r>
        <w:rPr>
          <w:rFonts w:ascii="Arial" w:cs="Arial" w:eastAsia="Arial" w:hAnsi="Arial"/>
          <w:sz w:val="18"/>
          <w:szCs w:val="18"/>
          <w:color w:val="auto"/>
        </w:rPr>
        <w:t xml:space="preserve"> Floor, Cambridge, MA 02141, for the following purposes:</w:t>
      </w:r>
    </w:p>
    <w:p>
      <w:pPr>
        <w:spacing w:after="0" w:line="89" w:lineRule="exact"/>
        <w:rPr>
          <w:sz w:val="20"/>
          <w:szCs w:val="20"/>
          <w:color w:val="auto"/>
        </w:rPr>
      </w:pPr>
    </w:p>
    <w:p>
      <w:pPr>
        <w:ind w:left="1000" w:right="100" w:hanging="493"/>
        <w:spacing w:after="0" w:line="246" w:lineRule="auto"/>
        <w:tabs>
          <w:tab w:leader="none" w:pos="1000" w:val="left"/>
        </w:tabs>
        <w:numPr>
          <w:ilvl w:val="0"/>
          <w:numId w:val="4"/>
        </w:numPr>
        <w:rPr>
          <w:rFonts w:ascii="Arial" w:cs="Arial" w:eastAsia="Arial" w:hAnsi="Arial"/>
          <w:sz w:val="18"/>
          <w:szCs w:val="18"/>
          <w:color w:val="E36F1E"/>
        </w:rPr>
      </w:pPr>
      <w:r>
        <w:rPr>
          <w:rFonts w:ascii="Arial" w:cs="Arial" w:eastAsia="Arial" w:hAnsi="Arial"/>
          <w:sz w:val="18"/>
          <w:szCs w:val="18"/>
          <w:color w:val="auto"/>
        </w:rPr>
        <w:t>To elect three Class III directors, Julie Herendeen, Michael Simon, and Jay Simons, to hold office until the 2023 annual meeting of stockholders and until their successors are duly elected and qualified, subject to their earlier resignation or removal;</w:t>
      </w:r>
    </w:p>
    <w:p>
      <w:pPr>
        <w:spacing w:after="0" w:line="88" w:lineRule="exact"/>
        <w:rPr>
          <w:rFonts w:ascii="Arial" w:cs="Arial" w:eastAsia="Arial" w:hAnsi="Arial"/>
          <w:sz w:val="18"/>
          <w:szCs w:val="18"/>
          <w:color w:val="E36F1E"/>
        </w:rPr>
      </w:pPr>
    </w:p>
    <w:p>
      <w:pPr>
        <w:ind w:left="1000" w:right="360" w:hanging="493"/>
        <w:spacing w:after="0" w:line="246" w:lineRule="auto"/>
        <w:tabs>
          <w:tab w:leader="none" w:pos="1000" w:val="left"/>
        </w:tabs>
        <w:numPr>
          <w:ilvl w:val="0"/>
          <w:numId w:val="4"/>
        </w:numPr>
        <w:rPr>
          <w:rFonts w:ascii="Arial" w:cs="Arial" w:eastAsia="Arial" w:hAnsi="Arial"/>
          <w:sz w:val="18"/>
          <w:szCs w:val="18"/>
          <w:color w:val="E36F1E"/>
        </w:rPr>
      </w:pPr>
      <w:r>
        <w:rPr>
          <w:rFonts w:ascii="Arial" w:cs="Arial" w:eastAsia="Arial" w:hAnsi="Arial"/>
          <w:sz w:val="18"/>
          <w:szCs w:val="18"/>
          <w:color w:val="auto"/>
        </w:rPr>
        <w:t>To ratify the appointment of PricewaterhouseCoopers LLP as our independent registered public accounting firm for the fiscal year ending December 31, 2020;</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4"/>
        </w:numPr>
        <w:rPr>
          <w:rFonts w:ascii="Arial" w:cs="Arial" w:eastAsia="Arial" w:hAnsi="Arial"/>
          <w:sz w:val="18"/>
          <w:szCs w:val="18"/>
          <w:color w:val="E36F1E"/>
        </w:rPr>
      </w:pPr>
      <w:r>
        <w:rPr>
          <w:rFonts w:ascii="Arial" w:cs="Arial" w:eastAsia="Arial" w:hAnsi="Arial"/>
          <w:sz w:val="18"/>
          <w:szCs w:val="18"/>
          <w:color w:val="auto"/>
        </w:rPr>
        <w:t>To conduct a non-binding, advisory vote to approve the compensation of our named executive officers; and</w:t>
      </w:r>
    </w:p>
    <w:p>
      <w:pPr>
        <w:spacing w:after="0" w:line="117" w:lineRule="exact"/>
        <w:rPr>
          <w:rFonts w:ascii="Arial" w:cs="Arial" w:eastAsia="Arial" w:hAnsi="Arial"/>
          <w:sz w:val="18"/>
          <w:szCs w:val="18"/>
          <w:color w:val="E36F1E"/>
        </w:rPr>
      </w:pPr>
    </w:p>
    <w:p>
      <w:pPr>
        <w:ind w:left="1000" w:right="400" w:hanging="493"/>
        <w:spacing w:after="0" w:line="246" w:lineRule="auto"/>
        <w:tabs>
          <w:tab w:leader="none" w:pos="1000" w:val="left"/>
        </w:tabs>
        <w:numPr>
          <w:ilvl w:val="0"/>
          <w:numId w:val="4"/>
        </w:numPr>
        <w:rPr>
          <w:rFonts w:ascii="Arial" w:cs="Arial" w:eastAsia="Arial" w:hAnsi="Arial"/>
          <w:sz w:val="18"/>
          <w:szCs w:val="18"/>
          <w:color w:val="E36F1E"/>
        </w:rPr>
      </w:pPr>
      <w:r>
        <w:rPr>
          <w:rFonts w:ascii="Arial" w:cs="Arial" w:eastAsia="Arial" w:hAnsi="Arial"/>
          <w:sz w:val="18"/>
          <w:szCs w:val="18"/>
          <w:color w:val="auto"/>
        </w:rPr>
        <w:t>To transact any other business that properly comes before the Annual Meeting (including adjournments and postponements thereof).</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Only stockholders of record at the close of business on April 20, 2020 are entitled to notice of and to vote at the Annual Meeting as set forth in the Proxy Statement. If you plan to attend the Annual Meeting in person, you should be prepared to present photo identification such as a valid driver’s license and verification of stock ownership for admittance. You are entitled to attend the Annual Meeting only if you were a stockholder as of the close of business on April 20, 2020 or hold a valid proxy for the Annual Meeting. If you are a stockholder of record, your ownership as of the record date will be verified prior to admittance into the meeting. If you are not a stockholder of record but hold shares through a broker, trustee, or nominee, you must provide proof of beneficial ownership as of the record date, such as an account statement or similar evidence of ownership. Please allow ample time for the admittance process. For instructions on how to vote your shares, please refer to the instructions on the Notice of Internet Availability of Proxy Materials you received in the mail, the section titled “Voting” beginning on page 1 of this Proxy Statement or, if you requested to receive printed proxy materials, your enclosed proxy card. As part of our precautions regarding COVID-19, we are planning for the possibility that the Annual Meeting may be held solely by means of remote communication. If we take this step, we will announce the decision to do so in advance, and details on how to participate will be available on the investor page on our website.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945640"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56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John P. Kelleher</w:t>
      </w:r>
    </w:p>
    <w:p>
      <w:pPr>
        <w:spacing w:after="0"/>
        <w:rPr>
          <w:sz w:val="20"/>
          <w:szCs w:val="20"/>
          <w:color w:val="auto"/>
        </w:rPr>
      </w:pPr>
      <w:r>
        <w:rPr>
          <w:rFonts w:ascii="Arial" w:cs="Arial" w:eastAsia="Arial" w:hAnsi="Arial"/>
          <w:sz w:val="18"/>
          <w:szCs w:val="18"/>
          <w:i w:val="1"/>
          <w:iCs w:val="1"/>
          <w:color w:val="auto"/>
        </w:rPr>
        <w:t>General Counsel and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91" w:right="359" w:bottom="1440" w:gutter="0" w:footer="0" w:header="0"/>
        </w:sectPr>
      </w:pPr>
    </w:p>
    <w:bookmarkStart w:id="3" w:name="page4"/>
    <w:bookmarkEnd w:id="3"/>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431800</wp:posOffset>
            </wp:positionV>
            <wp:extent cx="1303020"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71805"/>
                    </a:xfrm>
                    <a:prstGeom prst="rect">
                      <a:avLst/>
                    </a:prstGeom>
                    <a:noFill/>
                  </pic:spPr>
                </pic:pic>
              </a:graphicData>
            </a:graphic>
          </wp:anchor>
        </w:drawing>
      </w:r>
    </w:p>
    <w:p>
      <w:pPr>
        <w:ind w:right="3700"/>
        <w:spacing w:after="0" w:line="278" w:lineRule="auto"/>
        <w:rPr>
          <w:sz w:val="20"/>
          <w:szCs w:val="20"/>
          <w:color w:val="auto"/>
        </w:rPr>
      </w:pPr>
      <w:r>
        <w:rPr>
          <w:rFonts w:ascii="Arial" w:cs="Arial" w:eastAsia="Arial" w:hAnsi="Arial"/>
          <w:sz w:val="29"/>
          <w:szCs w:val="29"/>
          <w:b w:val="1"/>
          <w:bCs w:val="1"/>
          <w:color w:val="E36F1E"/>
        </w:rPr>
        <w:t>PROXY STATEMENT FOR THE 2020 ANNUAL MEETING OF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ABOUT THE ANNUAL MEETING</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20" w:type="dxa"/>
            <w:vAlign w:val="bottom"/>
          </w:tcPr>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Internet Availability of Proxy Materials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Record Date</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Quorum</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Shares Outstanding</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Voting</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Revoking Your Proxy</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Votes Required to Adopt Proposals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Effect of Abstentions and Broker Non-Votes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Voting Instructions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Voting Results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Additional Solicitation/Costs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Householding</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9020" w:type="dxa"/>
            <w:vAlign w:val="bottom"/>
          </w:tcPr>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DIRECTORS AND EXECUTIVE OFFICERS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1"/>
        </w:trPr>
        <w:tc>
          <w:tcPr>
            <w:tcW w:w="902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CORPORATE GOVERNANCE</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9020" w:type="dxa"/>
            <w:vAlign w:val="bottom"/>
          </w:tcPr>
          <w:p>
            <w:pPr>
              <w:ind w:left="10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Board Independence</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Board Leadership Structure</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Board and Committee Meetings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Corporate Governance Policies and Committee Charters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Board Committees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Identifying and Evaluating Director Nominees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Stockholder Communications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and Committee Evaluations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Board’s Role in Risk Oversight</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Compensation of Non-Employee Directors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9020" w:type="dxa"/>
            <w:vAlign w:val="bottom"/>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CORPORATE RESPONSIBILITY AND SUSTAINABILITY</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020" w:type="dxa"/>
            <w:vAlign w:val="bottom"/>
          </w:tcPr>
          <w:p>
            <w:pPr>
              <w:ind w:left="10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Our Award-Winning Culture</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Diversity, Inclusion, and Belonging</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Corporate Citizenship</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Facilities Management</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Data Privacy</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Code of Use Good Judgment</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Human Rights Policy</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9020" w:type="dxa"/>
            <w:vAlign w:val="bottom"/>
          </w:tcPr>
          <w:p>
            <w:pPr>
              <w:ind w:left="10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Stakeholder Engagement</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1"/>
        </w:trPr>
        <w:tc>
          <w:tcPr>
            <w:tcW w:w="902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SECURITY OWNERSHIP OF CERTAIN BENEFICIAL OWNERS AND MANAGEMENT</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020" w:type="dxa"/>
            <w:vAlign w:val="bottom"/>
          </w:tcPr>
          <w:p>
            <w:pPr>
              <w:ind w:left="10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Delinquent Section 16(a) Reports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34"/>
        </w:trPr>
        <w:tc>
          <w:tcPr>
            <w:tcW w:w="90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EXECUTIVE COMPENSATION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Compensation Discussion and Analysis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Executive Summary</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Compensation Philosophy</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Determining Executive Compensation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Elements of Compensation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 Risk Assessment</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Other Benefits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Severance and Change in Control Benefits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Compensation Practices and Policies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Tax and Accounting Considerations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Compensation Committee Interlocks and Insider Participation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2019 SUMMARY COMPENSATION TABLE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2019 GRANTS OF PLAN-BASED AWARDS TABLE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2019 OUTSTANDING EQUITY AWARDS AT FISCAL YEAR-END TABLE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2019 OPTIONS EXERCISED AND STOCK VESTED TABLE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1"/>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ADDITIONAL INFORMATION RELATING TO EXECUTIVE COMPENSATION PROGRAM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2019 Potential Payments upon Termination or Change in Control</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CEO Pay Ratio</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Equity Compensation Plan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Report of the Compensation Committee of the Board of Directors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1"/>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RELATED PARTY TRANSACTIONS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Certain Relationships and Transactions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Policies and Procedures for Related Party Transactions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PROPOSAL ONE - ELECTION OF DIRECTORS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Nominees for Class III Directors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Directors Not Standing for Election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Vote Required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Recommendation of the Board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0780" w:type="dxa"/>
            <w:vAlign w:val="bottom"/>
            <w:gridSpan w:val="10"/>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PROPOSAL TWO - RATIFICATION OF THE APPOINTMENT OF OUR INDEPENDENT REGISTERED PUBLIC ACCOUNTING</w:t>
              </w:r>
            </w:hyperlink>
          </w:p>
        </w:tc>
        <w:tc>
          <w:tcPr>
            <w:tcW w:w="480" w:type="dxa"/>
            <w:vAlign w:val="bottom"/>
          </w:tcPr>
          <w:p>
            <w:pPr>
              <w:spacing w:after="0"/>
              <w:rPr>
                <w:sz w:val="21"/>
                <w:szCs w:val="21"/>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10100" w:type="dxa"/>
            <w:vAlign w:val="bottom"/>
            <w:tcBorders>
              <w:top w:val="single" w:sz="8" w:color="0000EE"/>
            </w:tcBorders>
            <w:gridSpan w:val="6"/>
          </w:tcPr>
          <w:p>
            <w:pPr>
              <w:ind w:left="20"/>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FIRM</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64"/>
        </w:trPr>
        <w:tc>
          <w:tcPr>
            <w:tcW w:w="16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440" w:type="dxa"/>
            <w:vAlign w:val="bottom"/>
          </w:tcPr>
          <w:p>
            <w:pPr>
              <w:spacing w:after="0"/>
              <w:rPr>
                <w:sz w:val="22"/>
                <w:szCs w:val="22"/>
                <w:color w:val="auto"/>
              </w:rPr>
            </w:pPr>
          </w:p>
        </w:tc>
        <w:tc>
          <w:tcPr>
            <w:tcW w:w="95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Policy on Audit Committee Pre-Approval of Audit and Permissible Non-Audit Services of Independent Registered Public</w:t>
              </w:r>
            </w:hyperlink>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183"/>
        </w:trPr>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Accounting Firm</w:t>
              </w:r>
            </w:hyperlink>
          </w:p>
        </w:tc>
        <w:tc>
          <w:tcPr>
            <w:tcW w:w="8280" w:type="dxa"/>
            <w:vAlign w:val="bottom"/>
            <w:gridSpan w:val="4"/>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63"/>
        </w:trPr>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Audit Fees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Recommendation of the Board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Report of the Audit Committee of the Board of Directors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10780" w:type="dxa"/>
            <w:vAlign w:val="bottom"/>
            <w:gridSpan w:val="1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PROPOSAL THREE – NON-BINDING, ADVISORY VOTE TO APPROVE THE COMPENSATION OF OUR NAMED EXECUTIVE</w:t>
              </w:r>
            </w:hyperlink>
          </w:p>
        </w:tc>
        <w:tc>
          <w:tcPr>
            <w:tcW w:w="480" w:type="dxa"/>
            <w:vAlign w:val="bottom"/>
          </w:tcPr>
          <w:p>
            <w:pPr>
              <w:spacing w:after="0"/>
              <w:rPr>
                <w:sz w:val="21"/>
                <w:szCs w:val="21"/>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gridSpan w:val="3"/>
          </w:tcPr>
          <w:p>
            <w:pPr>
              <w:ind w:left="20"/>
              <w:spacing w:after="0" w:line="182" w:lineRule="exact"/>
              <w:rPr>
                <w:rFonts w:ascii="Arial" w:cs="Arial" w:eastAsia="Arial" w:hAnsi="Arial"/>
                <w:sz w:val="18"/>
                <w:szCs w:val="18"/>
                <w:b w:val="1"/>
                <w:bCs w:val="1"/>
                <w:color w:val="0000EE"/>
                <w:w w:val="96"/>
              </w:rPr>
            </w:pPr>
            <w:hyperlink w:anchor="page50">
              <w:r>
                <w:rPr>
                  <w:rFonts w:ascii="Arial" w:cs="Arial" w:eastAsia="Arial" w:hAnsi="Arial"/>
                  <w:sz w:val="18"/>
                  <w:szCs w:val="18"/>
                  <w:b w:val="1"/>
                  <w:bCs w:val="1"/>
                  <w:color w:val="0000EE"/>
                  <w:w w:val="96"/>
                </w:rPr>
                <w:t>OFFICERS</w:t>
              </w:r>
            </w:hyperlink>
          </w:p>
        </w:tc>
        <w:tc>
          <w:tcPr>
            <w:tcW w:w="9260" w:type="dxa"/>
            <w:vAlign w:val="bottom"/>
            <w:tcBorders>
              <w:top w:val="single" w:sz="8" w:color="0000EE"/>
            </w:tcBorders>
            <w:gridSpan w:val="4"/>
          </w:tcPr>
          <w:p>
            <w:pPr>
              <w:spacing w:after="0"/>
              <w:rPr>
                <w:sz w:val="15"/>
                <w:szCs w:val="15"/>
                <w:color w:val="auto"/>
              </w:rPr>
            </w:pPr>
          </w:p>
        </w:tc>
        <w:tc>
          <w:tcPr>
            <w:tcW w:w="44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345"/>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Recommendation of the Board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TRANSACTION OF OTHER BUSINESS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780" w:type="dxa"/>
            <w:vAlign w:val="bottom"/>
            <w:gridSpan w:val="10"/>
          </w:tcPr>
          <w:p>
            <w:pPr>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ADDITIONAL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Procedures for Submitting Stockholder Proposals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235"/>
        </w:trPr>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E36F1E"/>
        </w:rPr>
        <w:t>ABOUT THE ANNUAL MEETING</w:t>
      </w:r>
    </w:p>
    <w:p>
      <w:pPr>
        <w:spacing w:after="0" w:line="151"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Our Board of Directors (the “Board”) solicits your proxy on our behalf for the 2020 Annual Meeting of Stockholders (the “Annual Meeting”) and at any postponement or adjournment of the Annual Meeting for the purposes set forth in this Proxy Statement and the accompanying Notice of Internet Availability of Proxy Materials (the “Notice”). The Annual Meeting will be held at 9:00 a.m. Eastern Time on Wednesday, June 17, 2020 at our offices, located at 2 Canal Park, 1</w:t>
      </w:r>
      <w:r>
        <w:rPr>
          <w:rFonts w:ascii="Arial" w:cs="Arial" w:eastAsia="Arial" w:hAnsi="Arial"/>
          <w:sz w:val="15"/>
          <w:szCs w:val="15"/>
          <w:color w:val="auto"/>
        </w:rPr>
        <w:t>st</w:t>
      </w:r>
      <w:r>
        <w:rPr>
          <w:rFonts w:ascii="Arial" w:cs="Arial" w:eastAsia="Arial" w:hAnsi="Arial"/>
          <w:sz w:val="18"/>
          <w:szCs w:val="18"/>
          <w:color w:val="auto"/>
        </w:rPr>
        <w:t xml:space="preserve"> Floor, Cambridge MA 02141. We made this Proxy Statement available to stockholders beginning on April 24, 2020.</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this Proxy Statement the terms “HubSpot,” “the company,” “we,” “us,” and “our” refer to HubSpot, Inc. The mailing address of our principal executive offices is HubSpot, Inc., 25 First Street, Cambridge MA 02141.</w:t>
      </w:r>
    </w:p>
    <w:p>
      <w:pPr>
        <w:spacing w:after="0" w:line="202"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b w:val="1"/>
          <w:bCs w:val="1"/>
          <w:color w:val="E36F1E"/>
        </w:rPr>
        <w:t>Internet Availability of Proxy Materials</w:t>
      </w:r>
      <w:r>
        <w:rPr>
          <w:sz w:val="20"/>
          <w:szCs w:val="20"/>
          <w:color w:val="auto"/>
        </w:rPr>
        <w:tab/>
      </w:r>
      <w:r>
        <w:rPr>
          <w:rFonts w:ascii="Arial" w:cs="Arial" w:eastAsia="Arial" w:hAnsi="Arial"/>
          <w:sz w:val="17"/>
          <w:szCs w:val="17"/>
          <w:color w:val="auto"/>
        </w:rPr>
        <w:t>We are providing access to our proxy materials over the Internet. On April 24, 2020, we mailed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the Notice to stockholders, unless they requested a printed copy of proxy materials. The Notice</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contains instructions on how to access our proxy materials and how to vote. If you would like to</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receive a paper or e-mail copy of our proxy materials, please follow the instructions in the Notice.</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w w:val="99"/>
              </w:rPr>
              <w:t>If you requested printed versions of these materials by mail, they will also include a proxy card for</w:t>
            </w:r>
          </w:p>
        </w:tc>
      </w:tr>
      <w:tr>
        <w:trPr>
          <w:trHeight w:val="217"/>
        </w:trPr>
        <w:tc>
          <w:tcPr>
            <w:tcW w:w="2660" w:type="dxa"/>
            <w:vAlign w:val="bottom"/>
          </w:tcPr>
          <w:p>
            <w:pPr>
              <w:spacing w:after="0"/>
              <w:rPr>
                <w:sz w:val="18"/>
                <w:szCs w:val="18"/>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the Annual Meeting.</w:t>
            </w:r>
          </w:p>
        </w:tc>
      </w:tr>
      <w:tr>
        <w:trPr>
          <w:trHeight w:val="324"/>
        </w:trPr>
        <w:tc>
          <w:tcPr>
            <w:tcW w:w="2660" w:type="dxa"/>
            <w:vAlign w:val="bottom"/>
          </w:tcPr>
          <w:p>
            <w:pPr>
              <w:spacing w:after="0"/>
              <w:rPr>
                <w:sz w:val="20"/>
                <w:szCs w:val="20"/>
                <w:color w:val="auto"/>
              </w:rPr>
            </w:pPr>
            <w:r>
              <w:rPr>
                <w:rFonts w:ascii="Arial" w:cs="Arial" w:eastAsia="Arial" w:hAnsi="Arial"/>
                <w:sz w:val="18"/>
                <w:szCs w:val="18"/>
                <w:b w:val="1"/>
                <w:bCs w:val="1"/>
                <w:color w:val="E36F1E"/>
              </w:rPr>
              <w:t>Record Date</w:t>
            </w:r>
          </w:p>
        </w:tc>
        <w:tc>
          <w:tcPr>
            <w:tcW w:w="8600" w:type="dxa"/>
            <w:vAlign w:val="bottom"/>
          </w:tcPr>
          <w:p>
            <w:pPr>
              <w:ind w:left="840"/>
              <w:spacing w:after="0"/>
              <w:rPr>
                <w:sz w:val="20"/>
                <w:szCs w:val="20"/>
                <w:color w:val="auto"/>
              </w:rPr>
            </w:pPr>
            <w:r>
              <w:rPr>
                <w:rFonts w:ascii="Arial" w:cs="Arial" w:eastAsia="Arial" w:hAnsi="Arial"/>
                <w:sz w:val="18"/>
                <w:szCs w:val="18"/>
                <w:color w:val="auto"/>
              </w:rPr>
              <w:t>April 20, 2020</w:t>
            </w:r>
          </w:p>
        </w:tc>
      </w:tr>
      <w:tr>
        <w:trPr>
          <w:trHeight w:val="350"/>
        </w:trPr>
        <w:tc>
          <w:tcPr>
            <w:tcW w:w="2660" w:type="dxa"/>
            <w:vAlign w:val="bottom"/>
          </w:tcPr>
          <w:p>
            <w:pPr>
              <w:spacing w:after="0"/>
              <w:rPr>
                <w:sz w:val="20"/>
                <w:szCs w:val="20"/>
                <w:color w:val="auto"/>
              </w:rPr>
            </w:pPr>
            <w:r>
              <w:rPr>
                <w:rFonts w:ascii="Arial" w:cs="Arial" w:eastAsia="Arial" w:hAnsi="Arial"/>
                <w:sz w:val="18"/>
                <w:szCs w:val="18"/>
                <w:b w:val="1"/>
                <w:bCs w:val="1"/>
                <w:color w:val="E36F1E"/>
              </w:rPr>
              <w:t>Quorum</w:t>
            </w:r>
          </w:p>
        </w:tc>
        <w:tc>
          <w:tcPr>
            <w:tcW w:w="8600" w:type="dxa"/>
            <w:vAlign w:val="bottom"/>
          </w:tcPr>
          <w:p>
            <w:pPr>
              <w:ind w:left="840"/>
              <w:spacing w:after="0"/>
              <w:rPr>
                <w:sz w:val="20"/>
                <w:szCs w:val="20"/>
                <w:color w:val="auto"/>
              </w:rPr>
            </w:pPr>
            <w:r>
              <w:rPr>
                <w:rFonts w:ascii="Arial" w:cs="Arial" w:eastAsia="Arial" w:hAnsi="Arial"/>
                <w:sz w:val="18"/>
                <w:szCs w:val="18"/>
                <w:color w:val="auto"/>
              </w:rPr>
              <w:t>A majority of the shares of all issued and outstanding stock entitled to vote on the record date</w:t>
            </w:r>
          </w:p>
        </w:tc>
      </w:tr>
      <w:tr>
        <w:trPr>
          <w:trHeight w:val="217"/>
        </w:trPr>
        <w:tc>
          <w:tcPr>
            <w:tcW w:w="2660" w:type="dxa"/>
            <w:vAlign w:val="bottom"/>
          </w:tcPr>
          <w:p>
            <w:pPr>
              <w:spacing w:after="0"/>
              <w:rPr>
                <w:sz w:val="18"/>
                <w:szCs w:val="18"/>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must be present in person or represented by proxy to constitute a quorum.</w:t>
            </w:r>
          </w:p>
        </w:tc>
      </w:tr>
      <w:tr>
        <w:trPr>
          <w:trHeight w:val="324"/>
        </w:trPr>
        <w:tc>
          <w:tcPr>
            <w:tcW w:w="2660" w:type="dxa"/>
            <w:vAlign w:val="bottom"/>
          </w:tcPr>
          <w:p>
            <w:pPr>
              <w:spacing w:after="0"/>
              <w:rPr>
                <w:sz w:val="20"/>
                <w:szCs w:val="20"/>
                <w:color w:val="auto"/>
              </w:rPr>
            </w:pPr>
            <w:r>
              <w:rPr>
                <w:rFonts w:ascii="Arial" w:cs="Arial" w:eastAsia="Arial" w:hAnsi="Arial"/>
                <w:sz w:val="18"/>
                <w:szCs w:val="18"/>
                <w:b w:val="1"/>
                <w:bCs w:val="1"/>
                <w:color w:val="E36F1E"/>
              </w:rPr>
              <w:t>Shares Outstanding</w:t>
            </w:r>
          </w:p>
        </w:tc>
        <w:tc>
          <w:tcPr>
            <w:tcW w:w="8600" w:type="dxa"/>
            <w:vAlign w:val="bottom"/>
          </w:tcPr>
          <w:p>
            <w:pPr>
              <w:ind w:left="840"/>
              <w:spacing w:after="0"/>
              <w:rPr>
                <w:sz w:val="20"/>
                <w:szCs w:val="20"/>
                <w:color w:val="auto"/>
              </w:rPr>
            </w:pPr>
            <w:r>
              <w:rPr>
                <w:rFonts w:ascii="Arial" w:cs="Arial" w:eastAsia="Arial" w:hAnsi="Arial"/>
                <w:sz w:val="18"/>
                <w:szCs w:val="18"/>
                <w:color w:val="auto"/>
              </w:rPr>
              <w:t>43,542,573 shares of common stock outstanding as of April 20, 2020.</w:t>
            </w:r>
          </w:p>
        </w:tc>
      </w:tr>
      <w:tr>
        <w:trPr>
          <w:trHeight w:val="364"/>
        </w:trPr>
        <w:tc>
          <w:tcPr>
            <w:tcW w:w="2660" w:type="dxa"/>
            <w:vAlign w:val="bottom"/>
          </w:tcPr>
          <w:p>
            <w:pPr>
              <w:spacing w:after="0"/>
              <w:rPr>
                <w:sz w:val="20"/>
                <w:szCs w:val="20"/>
                <w:color w:val="auto"/>
              </w:rPr>
            </w:pPr>
            <w:r>
              <w:rPr>
                <w:rFonts w:ascii="Arial" w:cs="Arial" w:eastAsia="Arial" w:hAnsi="Arial"/>
                <w:sz w:val="18"/>
                <w:szCs w:val="18"/>
                <w:b w:val="1"/>
                <w:bCs w:val="1"/>
                <w:color w:val="E36F1E"/>
              </w:rPr>
              <w:t>Voting</w:t>
            </w:r>
          </w:p>
        </w:tc>
        <w:tc>
          <w:tcPr>
            <w:tcW w:w="8600" w:type="dxa"/>
            <w:vAlign w:val="bottom"/>
          </w:tcPr>
          <w:p>
            <w:pPr>
              <w:ind w:left="840"/>
              <w:spacing w:after="0"/>
              <w:rPr>
                <w:sz w:val="20"/>
                <w:szCs w:val="20"/>
                <w:color w:val="auto"/>
              </w:rPr>
            </w:pPr>
            <w:r>
              <w:rPr>
                <w:rFonts w:ascii="Arial" w:cs="Arial" w:eastAsia="Arial" w:hAnsi="Arial"/>
                <w:sz w:val="18"/>
                <w:szCs w:val="18"/>
                <w:color w:val="auto"/>
              </w:rPr>
              <w:t>There are four ways a stockholder of record can vote:</w:t>
            </w:r>
          </w:p>
        </w:tc>
      </w:tr>
      <w:tr>
        <w:trPr>
          <w:trHeight w:val="350"/>
        </w:trPr>
        <w:tc>
          <w:tcPr>
            <w:tcW w:w="2660" w:type="dxa"/>
            <w:vAlign w:val="bottom"/>
          </w:tcPr>
          <w:p>
            <w:pPr>
              <w:spacing w:after="0"/>
              <w:rPr>
                <w:sz w:val="24"/>
                <w:szCs w:val="24"/>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(1) By Internet: You may vote over the Internet by following the instructions provided in the</w:t>
            </w:r>
          </w:p>
        </w:tc>
      </w:tr>
      <w:tr>
        <w:trPr>
          <w:trHeight w:val="217"/>
        </w:trPr>
        <w:tc>
          <w:tcPr>
            <w:tcW w:w="2660" w:type="dxa"/>
            <w:vAlign w:val="bottom"/>
          </w:tcPr>
          <w:p>
            <w:pPr>
              <w:spacing w:after="0"/>
              <w:rPr>
                <w:sz w:val="18"/>
                <w:szCs w:val="18"/>
                <w:color w:val="auto"/>
              </w:rPr>
            </w:pPr>
          </w:p>
        </w:tc>
        <w:tc>
          <w:tcPr>
            <w:tcW w:w="8600" w:type="dxa"/>
            <w:vAlign w:val="bottom"/>
          </w:tcPr>
          <w:p>
            <w:pPr>
              <w:ind w:left="1100"/>
              <w:spacing w:after="0"/>
              <w:rPr>
                <w:sz w:val="20"/>
                <w:szCs w:val="20"/>
                <w:color w:val="auto"/>
              </w:rPr>
            </w:pPr>
            <w:r>
              <w:rPr>
                <w:rFonts w:ascii="Arial" w:cs="Arial" w:eastAsia="Arial" w:hAnsi="Arial"/>
                <w:sz w:val="18"/>
                <w:szCs w:val="18"/>
                <w:color w:val="auto"/>
              </w:rPr>
              <w:t>Notice.</w:t>
            </w:r>
          </w:p>
        </w:tc>
      </w:tr>
      <w:tr>
        <w:trPr>
          <w:trHeight w:val="324"/>
        </w:trPr>
        <w:tc>
          <w:tcPr>
            <w:tcW w:w="2660" w:type="dxa"/>
            <w:vAlign w:val="bottom"/>
          </w:tcPr>
          <w:p>
            <w:pPr>
              <w:spacing w:after="0"/>
              <w:rPr>
                <w:sz w:val="24"/>
                <w:szCs w:val="24"/>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(2) By Telephone: You can vote by telephone by following the instructions in the Notice.</w:t>
            </w:r>
          </w:p>
        </w:tc>
      </w:tr>
      <w:tr>
        <w:trPr>
          <w:trHeight w:val="350"/>
        </w:trPr>
        <w:tc>
          <w:tcPr>
            <w:tcW w:w="2660" w:type="dxa"/>
            <w:vAlign w:val="bottom"/>
          </w:tcPr>
          <w:p>
            <w:pPr>
              <w:spacing w:after="0"/>
              <w:rPr>
                <w:sz w:val="24"/>
                <w:szCs w:val="24"/>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(3) By Mail: If you requested printed copies of proxy materials, you can vote by mailing your</w:t>
            </w:r>
          </w:p>
        </w:tc>
      </w:tr>
      <w:tr>
        <w:trPr>
          <w:trHeight w:val="217"/>
        </w:trPr>
        <w:tc>
          <w:tcPr>
            <w:tcW w:w="2660" w:type="dxa"/>
            <w:vAlign w:val="bottom"/>
          </w:tcPr>
          <w:p>
            <w:pPr>
              <w:spacing w:after="0"/>
              <w:rPr>
                <w:sz w:val="18"/>
                <w:szCs w:val="18"/>
                <w:color w:val="auto"/>
              </w:rPr>
            </w:pPr>
          </w:p>
        </w:tc>
        <w:tc>
          <w:tcPr>
            <w:tcW w:w="8600" w:type="dxa"/>
            <w:vAlign w:val="bottom"/>
          </w:tcPr>
          <w:p>
            <w:pPr>
              <w:ind w:left="1100"/>
              <w:spacing w:after="0"/>
              <w:rPr>
                <w:sz w:val="20"/>
                <w:szCs w:val="20"/>
                <w:color w:val="auto"/>
              </w:rPr>
            </w:pPr>
            <w:r>
              <w:rPr>
                <w:rFonts w:ascii="Arial" w:cs="Arial" w:eastAsia="Arial" w:hAnsi="Arial"/>
                <w:sz w:val="18"/>
                <w:szCs w:val="18"/>
                <w:color w:val="auto"/>
              </w:rPr>
              <w:t>proxy as described in the proxy materials.</w:t>
            </w:r>
          </w:p>
        </w:tc>
      </w:tr>
      <w:tr>
        <w:trPr>
          <w:trHeight w:val="310"/>
        </w:trPr>
        <w:tc>
          <w:tcPr>
            <w:tcW w:w="2660" w:type="dxa"/>
            <w:vAlign w:val="bottom"/>
          </w:tcPr>
          <w:p>
            <w:pPr>
              <w:spacing w:after="0"/>
              <w:rPr>
                <w:sz w:val="24"/>
                <w:szCs w:val="24"/>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(4) In Person: If you are a stockholder as of the record date, you may vote in person at the</w:t>
            </w:r>
          </w:p>
        </w:tc>
      </w:tr>
      <w:tr>
        <w:trPr>
          <w:trHeight w:val="203"/>
        </w:trPr>
        <w:tc>
          <w:tcPr>
            <w:tcW w:w="2660" w:type="dxa"/>
            <w:vAlign w:val="bottom"/>
          </w:tcPr>
          <w:p>
            <w:pPr>
              <w:spacing w:after="0"/>
              <w:rPr>
                <w:sz w:val="17"/>
                <w:szCs w:val="17"/>
                <w:color w:val="auto"/>
              </w:rPr>
            </w:pPr>
          </w:p>
        </w:tc>
        <w:tc>
          <w:tcPr>
            <w:tcW w:w="8600" w:type="dxa"/>
            <w:vAlign w:val="bottom"/>
          </w:tcPr>
          <w:p>
            <w:pPr>
              <w:ind w:left="1100"/>
              <w:spacing w:after="0" w:line="202" w:lineRule="exact"/>
              <w:rPr>
                <w:sz w:val="20"/>
                <w:szCs w:val="20"/>
                <w:color w:val="auto"/>
              </w:rPr>
            </w:pPr>
            <w:r>
              <w:rPr>
                <w:rFonts w:ascii="Arial" w:cs="Arial" w:eastAsia="Arial" w:hAnsi="Arial"/>
                <w:sz w:val="18"/>
                <w:szCs w:val="18"/>
                <w:color w:val="auto"/>
              </w:rPr>
              <w:t>meeting. Submitting a proxy will not prevent a stockholder from attending the Annual Meeting,</w:t>
            </w:r>
          </w:p>
        </w:tc>
      </w:tr>
      <w:tr>
        <w:trPr>
          <w:trHeight w:val="217"/>
        </w:trPr>
        <w:tc>
          <w:tcPr>
            <w:tcW w:w="2660" w:type="dxa"/>
            <w:vAlign w:val="bottom"/>
          </w:tcPr>
          <w:p>
            <w:pPr>
              <w:spacing w:after="0"/>
              <w:rPr>
                <w:sz w:val="18"/>
                <w:szCs w:val="18"/>
                <w:color w:val="auto"/>
              </w:rPr>
            </w:pPr>
          </w:p>
        </w:tc>
        <w:tc>
          <w:tcPr>
            <w:tcW w:w="8600" w:type="dxa"/>
            <w:vAlign w:val="bottom"/>
          </w:tcPr>
          <w:p>
            <w:pPr>
              <w:ind w:left="1100"/>
              <w:spacing w:after="0"/>
              <w:rPr>
                <w:sz w:val="20"/>
                <w:szCs w:val="20"/>
                <w:color w:val="auto"/>
              </w:rPr>
            </w:pPr>
            <w:r>
              <w:rPr>
                <w:rFonts w:ascii="Arial" w:cs="Arial" w:eastAsia="Arial" w:hAnsi="Arial"/>
                <w:sz w:val="18"/>
                <w:szCs w:val="18"/>
                <w:color w:val="auto"/>
              </w:rPr>
              <w:t>revoking their earlier-submitted proxy, and voting in person.</w:t>
            </w:r>
          </w:p>
        </w:tc>
      </w:tr>
      <w:tr>
        <w:trPr>
          <w:trHeight w:val="310"/>
        </w:trPr>
        <w:tc>
          <w:tcPr>
            <w:tcW w:w="2660" w:type="dxa"/>
            <w:vAlign w:val="bottom"/>
          </w:tcPr>
          <w:p>
            <w:pPr>
              <w:spacing w:after="0"/>
              <w:rPr>
                <w:sz w:val="24"/>
                <w:szCs w:val="24"/>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In order to be counted, proxies submitted by telephone or Internet must be received by</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11:59 p.m. Eastern Time on June 16, 2020. Proxies submitted by U.S. mail must be received</w:t>
            </w:r>
          </w:p>
        </w:tc>
      </w:tr>
      <w:tr>
        <w:trPr>
          <w:trHeight w:val="217"/>
        </w:trPr>
        <w:tc>
          <w:tcPr>
            <w:tcW w:w="2660" w:type="dxa"/>
            <w:vAlign w:val="bottom"/>
          </w:tcPr>
          <w:p>
            <w:pPr>
              <w:spacing w:after="0"/>
              <w:rPr>
                <w:sz w:val="18"/>
                <w:szCs w:val="18"/>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before the start of the Annual Meeting.</w:t>
            </w:r>
          </w:p>
        </w:tc>
      </w:tr>
      <w:tr>
        <w:trPr>
          <w:trHeight w:val="310"/>
        </w:trPr>
        <w:tc>
          <w:tcPr>
            <w:tcW w:w="2660" w:type="dxa"/>
            <w:vAlign w:val="bottom"/>
          </w:tcPr>
          <w:p>
            <w:pPr>
              <w:spacing w:after="0"/>
              <w:rPr>
                <w:sz w:val="24"/>
                <w:szCs w:val="24"/>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If you are a stockholder who holds shares through a brokerage firm, bank, trust, or other similar</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organization (that is, in “street name”), please refer to the instructions from the broker or</w:t>
            </w:r>
          </w:p>
        </w:tc>
      </w:tr>
      <w:tr>
        <w:trPr>
          <w:trHeight w:val="217"/>
        </w:trPr>
        <w:tc>
          <w:tcPr>
            <w:tcW w:w="2660" w:type="dxa"/>
            <w:vAlign w:val="bottom"/>
          </w:tcPr>
          <w:p>
            <w:pPr>
              <w:spacing w:after="0"/>
              <w:rPr>
                <w:sz w:val="18"/>
                <w:szCs w:val="18"/>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organization holding your shares.</w:t>
            </w:r>
          </w:p>
        </w:tc>
      </w:tr>
      <w:tr>
        <w:trPr>
          <w:trHeight w:val="310"/>
        </w:trPr>
        <w:tc>
          <w:tcPr>
            <w:tcW w:w="2660" w:type="dxa"/>
            <w:vAlign w:val="bottom"/>
          </w:tcPr>
          <w:p>
            <w:pPr>
              <w:spacing w:after="0"/>
              <w:rPr>
                <w:sz w:val="20"/>
                <w:szCs w:val="20"/>
                <w:color w:val="auto"/>
              </w:rPr>
            </w:pPr>
            <w:r>
              <w:rPr>
                <w:rFonts w:ascii="Arial" w:cs="Arial" w:eastAsia="Arial" w:hAnsi="Arial"/>
                <w:sz w:val="18"/>
                <w:szCs w:val="18"/>
                <w:b w:val="1"/>
                <w:bCs w:val="1"/>
                <w:color w:val="E36F1E"/>
              </w:rPr>
              <w:t>Revoking Your Proxy</w:t>
            </w:r>
          </w:p>
        </w:tc>
        <w:tc>
          <w:tcPr>
            <w:tcW w:w="8600" w:type="dxa"/>
            <w:vAlign w:val="bottom"/>
          </w:tcPr>
          <w:p>
            <w:pPr>
              <w:ind w:left="840"/>
              <w:spacing w:after="0"/>
              <w:rPr>
                <w:sz w:val="20"/>
                <w:szCs w:val="20"/>
                <w:color w:val="auto"/>
              </w:rPr>
            </w:pPr>
            <w:r>
              <w:rPr>
                <w:rFonts w:ascii="Arial" w:cs="Arial" w:eastAsia="Arial" w:hAnsi="Arial"/>
                <w:sz w:val="18"/>
                <w:szCs w:val="18"/>
                <w:color w:val="auto"/>
              </w:rPr>
              <w:t>Stockholders of record may revoke their proxies by attending the Annual Meeting and voting in</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person, by filing an instrument in writing revoking the proxy or by filing another duly executed</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proxy bearing a later date with our Secretary before the vote is counted or by voting again using</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the telephone or Internet before the cutoff time (your latest telephone or Internet proxy is the one</w:t>
            </w:r>
          </w:p>
        </w:tc>
      </w:tr>
      <w:tr>
        <w:trPr>
          <w:trHeight w:val="203"/>
        </w:trPr>
        <w:tc>
          <w:tcPr>
            <w:tcW w:w="2660" w:type="dxa"/>
            <w:vAlign w:val="bottom"/>
          </w:tcPr>
          <w:p>
            <w:pPr>
              <w:spacing w:after="0"/>
              <w:rPr>
                <w:sz w:val="17"/>
                <w:szCs w:val="17"/>
                <w:color w:val="auto"/>
              </w:rPr>
            </w:pPr>
          </w:p>
        </w:tc>
        <w:tc>
          <w:tcPr>
            <w:tcW w:w="8600" w:type="dxa"/>
            <w:vAlign w:val="bottom"/>
          </w:tcPr>
          <w:p>
            <w:pPr>
              <w:ind w:left="840"/>
              <w:spacing w:after="0" w:line="202" w:lineRule="exact"/>
              <w:rPr>
                <w:sz w:val="20"/>
                <w:szCs w:val="20"/>
                <w:color w:val="auto"/>
              </w:rPr>
            </w:pPr>
            <w:r>
              <w:rPr>
                <w:rFonts w:ascii="Arial" w:cs="Arial" w:eastAsia="Arial" w:hAnsi="Arial"/>
                <w:sz w:val="18"/>
                <w:szCs w:val="18"/>
                <w:color w:val="auto"/>
              </w:rPr>
              <w:t>that will be counted). If you hold shares through a bank or broker, you may revoke any prior</w:t>
            </w:r>
          </w:p>
        </w:tc>
      </w:tr>
      <w:tr>
        <w:trPr>
          <w:trHeight w:val="217"/>
        </w:trPr>
        <w:tc>
          <w:tcPr>
            <w:tcW w:w="2660" w:type="dxa"/>
            <w:vAlign w:val="bottom"/>
          </w:tcPr>
          <w:p>
            <w:pPr>
              <w:spacing w:after="0"/>
              <w:rPr>
                <w:sz w:val="18"/>
                <w:szCs w:val="18"/>
                <w:color w:val="auto"/>
              </w:rPr>
            </w:pPr>
          </w:p>
        </w:tc>
        <w:tc>
          <w:tcPr>
            <w:tcW w:w="8600" w:type="dxa"/>
            <w:vAlign w:val="bottom"/>
          </w:tcPr>
          <w:p>
            <w:pPr>
              <w:ind w:left="840"/>
              <w:spacing w:after="0"/>
              <w:rPr>
                <w:sz w:val="20"/>
                <w:szCs w:val="20"/>
                <w:color w:val="auto"/>
              </w:rPr>
            </w:pPr>
            <w:r>
              <w:rPr>
                <w:rFonts w:ascii="Arial" w:cs="Arial" w:eastAsia="Arial" w:hAnsi="Arial"/>
                <w:sz w:val="18"/>
                <w:szCs w:val="18"/>
                <w:color w:val="auto"/>
              </w:rPr>
              <w:t>voting instructions by contacting that firm.</w:t>
            </w:r>
          </w:p>
        </w:tc>
      </w:tr>
      <w:tr>
        <w:trPr>
          <w:trHeight w:val="540"/>
        </w:trPr>
        <w:tc>
          <w:tcPr>
            <w:tcW w:w="2660" w:type="dxa"/>
            <w:vAlign w:val="bottom"/>
          </w:tcPr>
          <w:p>
            <w:pPr>
              <w:spacing w:after="0"/>
              <w:rPr>
                <w:sz w:val="24"/>
                <w:szCs w:val="24"/>
                <w:color w:val="auto"/>
              </w:rPr>
            </w:pPr>
          </w:p>
        </w:tc>
        <w:tc>
          <w:tcPr>
            <w:tcW w:w="8600" w:type="dxa"/>
            <w:vAlign w:val="bottom"/>
          </w:tcPr>
          <w:p>
            <w:pPr>
              <w:ind w:left="4900"/>
              <w:spacing w:after="0"/>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rFonts w:ascii="Arial" w:cs="Arial" w:eastAsia="Arial" w:hAnsi="Arial"/>
                <w:sz w:val="18"/>
                <w:szCs w:val="18"/>
                <w:color w:val="455560"/>
              </w:rPr>
              <w:t xml:space="preserve">  </w:t>
            </w:r>
            <w:r>
              <w:rPr>
                <w:rFonts w:ascii="Arial" w:cs="Arial" w:eastAsia="Arial" w:hAnsi="Arial"/>
                <w:sz w:val="18"/>
                <w:szCs w:val="18"/>
                <w:b w:val="1"/>
                <w:bCs w:val="1"/>
                <w:color w:val="000000"/>
              </w:rPr>
              <w:t>1</w:t>
            </w:r>
          </w:p>
        </w:tc>
      </w:tr>
      <w:tr>
        <w:trPr>
          <w:trHeight w:val="101"/>
        </w:trPr>
        <w:tc>
          <w:tcPr>
            <w:tcW w:w="2660" w:type="dxa"/>
            <w:vAlign w:val="bottom"/>
            <w:tcBorders>
              <w:bottom w:val="single" w:sz="8" w:color="9A9A9A"/>
            </w:tcBorders>
          </w:tcPr>
          <w:p>
            <w:pPr>
              <w:spacing w:after="0"/>
              <w:rPr>
                <w:sz w:val="8"/>
                <w:szCs w:val="8"/>
                <w:color w:val="auto"/>
              </w:rPr>
            </w:pPr>
          </w:p>
        </w:tc>
        <w:tc>
          <w:tcPr>
            <w:tcW w:w="8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6" w:name="page7"/>
    <w:bookmarkEnd w:id="6"/>
    <w:p>
      <w:pPr>
        <w:ind w:left="3500" w:right="300" w:hanging="3482"/>
        <w:spacing w:after="0" w:line="246" w:lineRule="auto"/>
        <w:tabs>
          <w:tab w:leader="none" w:pos="3480" w:val="left"/>
        </w:tabs>
        <w:rPr>
          <w:sz w:val="20"/>
          <w:szCs w:val="20"/>
          <w:color w:val="auto"/>
        </w:rPr>
      </w:pPr>
      <w:r>
        <w:rPr>
          <w:rFonts w:ascii="Arial" w:cs="Arial" w:eastAsia="Arial" w:hAnsi="Arial"/>
          <w:sz w:val="18"/>
          <w:szCs w:val="18"/>
          <w:b w:val="1"/>
          <w:bCs w:val="1"/>
          <w:color w:val="E36F1E"/>
        </w:rPr>
        <w:t>Votes Required to Adopt Proposals</w:t>
      </w:r>
      <w:r>
        <w:rPr>
          <w:sz w:val="20"/>
          <w:szCs w:val="20"/>
          <w:color w:val="auto"/>
        </w:rPr>
        <w:tab/>
      </w:r>
      <w:r>
        <w:rPr>
          <w:rFonts w:ascii="Arial" w:cs="Arial" w:eastAsia="Arial" w:hAnsi="Arial"/>
          <w:sz w:val="18"/>
          <w:szCs w:val="18"/>
          <w:color w:val="auto"/>
        </w:rPr>
        <w:t>Each share of our common stock outstanding on the record date is entitled to one vote on any proposal presented at the Annual Meeting:</w:t>
      </w:r>
    </w:p>
    <w:p>
      <w:pPr>
        <w:spacing w:after="0" w:line="111" w:lineRule="exact"/>
        <w:rPr>
          <w:sz w:val="20"/>
          <w:szCs w:val="20"/>
          <w:color w:val="auto"/>
        </w:rPr>
      </w:pPr>
    </w:p>
    <w:p>
      <w:pPr>
        <w:ind w:left="3500" w:right="220"/>
        <w:spacing w:after="0" w:line="246" w:lineRule="auto"/>
        <w:rPr>
          <w:sz w:val="20"/>
          <w:szCs w:val="20"/>
          <w:color w:val="auto"/>
        </w:rPr>
      </w:pPr>
      <w:r>
        <w:rPr>
          <w:rFonts w:ascii="Arial" w:cs="Arial" w:eastAsia="Arial" w:hAnsi="Arial"/>
          <w:sz w:val="18"/>
          <w:szCs w:val="18"/>
          <w:color w:val="auto"/>
        </w:rPr>
        <w:t>For Proposal One, the election of directors, the nominees receiving a majority of votes properly cast will be elected as directors.</w:t>
      </w:r>
    </w:p>
    <w:p>
      <w:pPr>
        <w:spacing w:after="0" w:line="89" w:lineRule="exact"/>
        <w:rPr>
          <w:sz w:val="20"/>
          <w:szCs w:val="20"/>
          <w:color w:val="auto"/>
        </w:rPr>
      </w:pPr>
    </w:p>
    <w:p>
      <w:pPr>
        <w:ind w:left="3500" w:right="120"/>
        <w:spacing w:after="0"/>
        <w:rPr>
          <w:sz w:val="20"/>
          <w:szCs w:val="20"/>
          <w:color w:val="auto"/>
        </w:rPr>
      </w:pPr>
      <w:r>
        <w:rPr>
          <w:rFonts w:ascii="Arial" w:cs="Arial" w:eastAsia="Arial" w:hAnsi="Arial"/>
          <w:sz w:val="18"/>
          <w:szCs w:val="18"/>
          <w:color w:val="auto"/>
        </w:rPr>
        <w:t>For Proposal Two, a majority of the votes properly cast is required to ratify the appointment of PricewaterhouseCoopers LLP as our independent registered public accounting firm for the fiscal year ending December 31, 2020.</w:t>
      </w:r>
    </w:p>
    <w:p>
      <w:pPr>
        <w:spacing w:after="0" w:line="95" w:lineRule="exact"/>
        <w:rPr>
          <w:sz w:val="20"/>
          <w:szCs w:val="20"/>
          <w:color w:val="auto"/>
        </w:rPr>
      </w:pPr>
    </w:p>
    <w:p>
      <w:pPr>
        <w:ind w:left="3500" w:right="100"/>
        <w:spacing w:after="0" w:line="237" w:lineRule="auto"/>
        <w:rPr>
          <w:sz w:val="20"/>
          <w:szCs w:val="20"/>
          <w:color w:val="auto"/>
        </w:rPr>
      </w:pPr>
      <w:r>
        <w:rPr>
          <w:rFonts w:ascii="Arial" w:cs="Arial" w:eastAsia="Arial" w:hAnsi="Arial"/>
          <w:sz w:val="18"/>
          <w:szCs w:val="18"/>
          <w:color w:val="auto"/>
        </w:rPr>
        <w:t>For Proposal Three, a majority of the votes properly cast is required to approve the compensation of our named executive officers. Since this proposal is an advisory vote, the result will not be binding on our Board, the Compensation Committee of our Board (the “Compensation Committee”), or the Company. However, the Board values input from stockholders, and the Compensation Committee will consider the outcome of the vote when making future decisions regarding the compensation of our named executive officers.</w:t>
      </w:r>
    </w:p>
    <w:p>
      <w:pPr>
        <w:spacing w:after="0" w:line="88"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b w:val="1"/>
          <w:bCs w:val="1"/>
          <w:color w:val="E36F1E"/>
        </w:rPr>
        <w:t>Effect of Abstentions and Broker Non-</w:t>
      </w:r>
      <w:r>
        <w:rPr>
          <w:sz w:val="20"/>
          <w:szCs w:val="20"/>
          <w:color w:val="auto"/>
        </w:rPr>
        <w:tab/>
      </w:r>
      <w:r>
        <w:rPr>
          <w:rFonts w:ascii="Arial" w:cs="Arial" w:eastAsia="Arial" w:hAnsi="Arial"/>
          <w:sz w:val="17"/>
          <w:szCs w:val="17"/>
          <w:color w:val="auto"/>
        </w:rPr>
        <w:t>Votes withheld from any nominee, abstentions and “broker nonvotes” (</w:t>
      </w:r>
      <w:r>
        <w:rPr>
          <w:rFonts w:ascii="Arial" w:cs="Arial" w:eastAsia="Arial" w:hAnsi="Arial"/>
          <w:sz w:val="17"/>
          <w:szCs w:val="17"/>
          <w:i w:val="1"/>
          <w:iCs w:val="1"/>
          <w:color w:val="auto"/>
        </w:rPr>
        <w:t>i.e.</w:t>
      </w:r>
      <w:r>
        <w:rPr>
          <w:rFonts w:ascii="Arial" w:cs="Arial" w:eastAsia="Arial" w:hAnsi="Arial"/>
          <w:sz w:val="17"/>
          <w:szCs w:val="17"/>
          <w:color w:val="auto"/>
        </w:rPr>
        <w:t>, where a broker has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Arial" w:cs="Arial" w:eastAsia="Arial" w:hAnsi="Arial"/>
                <w:sz w:val="18"/>
                <w:szCs w:val="18"/>
                <w:b w:val="1"/>
                <w:bCs w:val="1"/>
                <w:color w:val="E36F1E"/>
              </w:rPr>
              <w:t>Votes</w:t>
            </w:r>
          </w:p>
        </w:tc>
        <w:tc>
          <w:tcPr>
            <w:tcW w:w="8700" w:type="dxa"/>
            <w:vAlign w:val="bottom"/>
          </w:tcPr>
          <w:p>
            <w:pPr>
              <w:ind w:left="940"/>
              <w:spacing w:after="0"/>
              <w:rPr>
                <w:sz w:val="20"/>
                <w:szCs w:val="20"/>
                <w:color w:val="auto"/>
              </w:rPr>
            </w:pPr>
            <w:r>
              <w:rPr>
                <w:rFonts w:ascii="Arial" w:cs="Arial" w:eastAsia="Arial" w:hAnsi="Arial"/>
                <w:sz w:val="18"/>
                <w:szCs w:val="18"/>
                <w:color w:val="auto"/>
              </w:rPr>
              <w:t>not received voting instructions from the beneficial owner and for which the broker does not have</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discretionary power to vote on a particular matter) are counted as present for purposes of</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determining the presence of a quorum. Shares voting “withheld” have no effect on the election of</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directors. Abstentions have no effect on the ratification of the appointment of</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PricewaterhouseCoopers LLP as our independent registered public accounting firm for the fiscal</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year ending December 31, 2020 or the advisory vote to approve the compensation of our named</w:t>
            </w:r>
          </w:p>
        </w:tc>
      </w:tr>
      <w:tr>
        <w:trPr>
          <w:trHeight w:val="217"/>
        </w:trPr>
        <w:tc>
          <w:tcPr>
            <w:tcW w:w="2560" w:type="dxa"/>
            <w:vAlign w:val="bottom"/>
          </w:tcPr>
          <w:p>
            <w:pPr>
              <w:spacing w:after="0"/>
              <w:rPr>
                <w:sz w:val="18"/>
                <w:szCs w:val="18"/>
                <w:color w:val="auto"/>
              </w:rPr>
            </w:pPr>
          </w:p>
        </w:tc>
        <w:tc>
          <w:tcPr>
            <w:tcW w:w="8700" w:type="dxa"/>
            <w:vAlign w:val="bottom"/>
          </w:tcPr>
          <w:p>
            <w:pPr>
              <w:ind w:left="940"/>
              <w:spacing w:after="0"/>
              <w:rPr>
                <w:sz w:val="20"/>
                <w:szCs w:val="20"/>
                <w:color w:val="auto"/>
              </w:rPr>
            </w:pPr>
            <w:r>
              <w:rPr>
                <w:rFonts w:ascii="Arial" w:cs="Arial" w:eastAsia="Arial" w:hAnsi="Arial"/>
                <w:sz w:val="18"/>
                <w:szCs w:val="18"/>
                <w:color w:val="auto"/>
              </w:rPr>
              <w:t>executive officers.</w:t>
            </w:r>
          </w:p>
        </w:tc>
      </w:tr>
      <w:tr>
        <w:trPr>
          <w:trHeight w:val="296"/>
        </w:trPr>
        <w:tc>
          <w:tcPr>
            <w:tcW w:w="2560" w:type="dxa"/>
            <w:vAlign w:val="bottom"/>
          </w:tcPr>
          <w:p>
            <w:pPr>
              <w:spacing w:after="0"/>
              <w:rPr>
                <w:sz w:val="24"/>
                <w:szCs w:val="24"/>
                <w:color w:val="auto"/>
              </w:rPr>
            </w:pPr>
          </w:p>
        </w:tc>
        <w:tc>
          <w:tcPr>
            <w:tcW w:w="8700" w:type="dxa"/>
            <w:vAlign w:val="bottom"/>
          </w:tcPr>
          <w:p>
            <w:pPr>
              <w:ind w:left="940"/>
              <w:spacing w:after="0"/>
              <w:rPr>
                <w:sz w:val="20"/>
                <w:szCs w:val="20"/>
                <w:color w:val="auto"/>
              </w:rPr>
            </w:pPr>
            <w:r>
              <w:rPr>
                <w:rFonts w:ascii="Arial" w:cs="Arial" w:eastAsia="Arial" w:hAnsi="Arial"/>
                <w:sz w:val="18"/>
                <w:szCs w:val="18"/>
                <w:color w:val="auto"/>
              </w:rPr>
              <w:t>Under the rules that govern brokers holding shares for their customers, brokers who do not</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receive voting instructions from their customers have the discretion to vote uninstructed shares</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on routine matters, but do not have discretion to vote such uninstructed shares on non-routine</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matters. Only Proposal Two, the ratification of the appointment of PricewaterhouseCoopers LLP,</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is considered a routine matter where brokers are permitted to vote shares held by them without</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instruction. If your shares are held through a broker, those shares will not be voted with regard to</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Proposals One or Three unless you affirmatively provide the broker instructions on how to vote.</w:t>
            </w:r>
          </w:p>
        </w:tc>
      </w:tr>
      <w:tr>
        <w:trPr>
          <w:trHeight w:val="217"/>
        </w:trPr>
        <w:tc>
          <w:tcPr>
            <w:tcW w:w="2560" w:type="dxa"/>
            <w:vAlign w:val="bottom"/>
          </w:tcPr>
          <w:p>
            <w:pPr>
              <w:spacing w:after="0"/>
              <w:rPr>
                <w:sz w:val="18"/>
                <w:szCs w:val="18"/>
                <w:color w:val="auto"/>
              </w:rPr>
            </w:pPr>
          </w:p>
        </w:tc>
        <w:tc>
          <w:tcPr>
            <w:tcW w:w="8700" w:type="dxa"/>
            <w:vAlign w:val="bottom"/>
          </w:tcPr>
          <w:p>
            <w:pPr>
              <w:ind w:left="940"/>
              <w:spacing w:after="0"/>
              <w:rPr>
                <w:sz w:val="20"/>
                <w:szCs w:val="20"/>
                <w:color w:val="auto"/>
              </w:rPr>
            </w:pPr>
            <w:r>
              <w:rPr>
                <w:rFonts w:ascii="Arial" w:cs="Arial" w:eastAsia="Arial" w:hAnsi="Arial"/>
                <w:sz w:val="18"/>
                <w:szCs w:val="18"/>
                <w:color w:val="auto"/>
              </w:rPr>
              <w:t>Broker non-votes also will have no effect on the outcome of these proposals.</w:t>
            </w:r>
          </w:p>
        </w:tc>
      </w:tr>
      <w:tr>
        <w:trPr>
          <w:trHeight w:val="310"/>
        </w:trPr>
        <w:tc>
          <w:tcPr>
            <w:tcW w:w="2560" w:type="dxa"/>
            <w:vAlign w:val="bottom"/>
          </w:tcPr>
          <w:p>
            <w:pPr>
              <w:spacing w:after="0"/>
              <w:rPr>
                <w:sz w:val="20"/>
                <w:szCs w:val="20"/>
                <w:color w:val="auto"/>
              </w:rPr>
            </w:pPr>
            <w:r>
              <w:rPr>
                <w:rFonts w:ascii="Arial" w:cs="Arial" w:eastAsia="Arial" w:hAnsi="Arial"/>
                <w:sz w:val="18"/>
                <w:szCs w:val="18"/>
                <w:b w:val="1"/>
                <w:bCs w:val="1"/>
                <w:color w:val="E36F1E"/>
              </w:rPr>
              <w:t>Voting Instructions</w:t>
            </w:r>
          </w:p>
        </w:tc>
        <w:tc>
          <w:tcPr>
            <w:tcW w:w="8700" w:type="dxa"/>
            <w:vAlign w:val="bottom"/>
          </w:tcPr>
          <w:p>
            <w:pPr>
              <w:ind w:left="940"/>
              <w:spacing w:after="0"/>
              <w:rPr>
                <w:sz w:val="20"/>
                <w:szCs w:val="20"/>
                <w:color w:val="auto"/>
              </w:rPr>
            </w:pPr>
            <w:r>
              <w:rPr>
                <w:rFonts w:ascii="Arial" w:cs="Arial" w:eastAsia="Arial" w:hAnsi="Arial"/>
                <w:sz w:val="18"/>
                <w:szCs w:val="18"/>
                <w:color w:val="auto"/>
              </w:rPr>
              <w:t>If you complete and submit your proxy voting instructions, the persons named as proxies will</w:t>
            </w:r>
          </w:p>
        </w:tc>
      </w:tr>
      <w:tr>
        <w:trPr>
          <w:trHeight w:val="180"/>
        </w:trPr>
        <w:tc>
          <w:tcPr>
            <w:tcW w:w="2560" w:type="dxa"/>
            <w:vAlign w:val="bottom"/>
          </w:tcPr>
          <w:p>
            <w:pPr>
              <w:spacing w:after="0"/>
              <w:rPr>
                <w:sz w:val="15"/>
                <w:szCs w:val="15"/>
                <w:color w:val="auto"/>
              </w:rPr>
            </w:pPr>
          </w:p>
        </w:tc>
        <w:tc>
          <w:tcPr>
            <w:tcW w:w="8700" w:type="dxa"/>
            <w:vAlign w:val="bottom"/>
          </w:tcPr>
          <w:p>
            <w:pPr>
              <w:ind w:left="940"/>
              <w:spacing w:after="0" w:line="181" w:lineRule="exact"/>
              <w:rPr>
                <w:sz w:val="20"/>
                <w:szCs w:val="20"/>
                <w:color w:val="auto"/>
              </w:rPr>
            </w:pPr>
            <w:r>
              <w:rPr>
                <w:rFonts w:ascii="Arial" w:cs="Arial" w:eastAsia="Arial" w:hAnsi="Arial"/>
                <w:sz w:val="18"/>
                <w:szCs w:val="18"/>
                <w:color w:val="auto"/>
              </w:rPr>
              <w:t>follow your instructions. If you submit proxy voting instructions but do not direct how your shares</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 xml:space="preserve">should be voted on each item, the persons named as proxies will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w w:val="99"/>
              </w:rPr>
              <w:t xml:space="preserve">of the nominees for directors, </w:t>
            </w:r>
            <w:r>
              <w:rPr>
                <w:rFonts w:ascii="Arial" w:cs="Arial" w:eastAsia="Arial" w:hAnsi="Arial"/>
                <w:sz w:val="18"/>
                <w:szCs w:val="18"/>
                <w:b w:val="1"/>
                <w:bCs w:val="1"/>
                <w:color w:val="auto"/>
                <w:w w:val="99"/>
              </w:rPr>
              <w:t>FOR</w:t>
            </w:r>
            <w:r>
              <w:rPr>
                <w:rFonts w:ascii="Arial" w:cs="Arial" w:eastAsia="Arial" w:hAnsi="Arial"/>
                <w:sz w:val="18"/>
                <w:szCs w:val="18"/>
                <w:color w:val="auto"/>
                <w:w w:val="99"/>
              </w:rPr>
              <w:t xml:space="preserve"> the ratification of the appointment of PricewaterhouseCoopers</w:t>
            </w:r>
          </w:p>
        </w:tc>
      </w:tr>
      <w:tr>
        <w:trPr>
          <w:trHeight w:val="225"/>
        </w:trPr>
        <w:tc>
          <w:tcPr>
            <w:tcW w:w="2560" w:type="dxa"/>
            <w:vAlign w:val="bottom"/>
          </w:tcPr>
          <w:p>
            <w:pPr>
              <w:spacing w:after="0"/>
              <w:rPr>
                <w:sz w:val="19"/>
                <w:szCs w:val="19"/>
                <w:color w:val="auto"/>
              </w:rPr>
            </w:pPr>
          </w:p>
        </w:tc>
        <w:tc>
          <w:tcPr>
            <w:tcW w:w="8700" w:type="dxa"/>
            <w:vAlign w:val="bottom"/>
          </w:tcPr>
          <w:p>
            <w:pPr>
              <w:ind w:left="940"/>
              <w:spacing w:after="0"/>
              <w:rPr>
                <w:sz w:val="20"/>
                <w:szCs w:val="20"/>
                <w:color w:val="auto"/>
              </w:rPr>
            </w:pPr>
            <w:r>
              <w:rPr>
                <w:rFonts w:ascii="Arial" w:cs="Arial" w:eastAsia="Arial" w:hAnsi="Arial"/>
                <w:sz w:val="18"/>
                <w:szCs w:val="18"/>
                <w:color w:val="auto"/>
              </w:rPr>
              <w:t xml:space="preserve">LLP as our independent registered public accounting firm,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non-binding advisory vote to</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approve the compensation of our named executive officers. The persons named as proxies will</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vote on any other matters properly presented at the Annual Meeting in accordance with their best</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judgment, although we have not received timely notice of any other matters that may be properly</w:t>
            </w:r>
          </w:p>
        </w:tc>
      </w:tr>
      <w:tr>
        <w:trPr>
          <w:trHeight w:val="217"/>
        </w:trPr>
        <w:tc>
          <w:tcPr>
            <w:tcW w:w="2560" w:type="dxa"/>
            <w:vAlign w:val="bottom"/>
          </w:tcPr>
          <w:p>
            <w:pPr>
              <w:spacing w:after="0"/>
              <w:rPr>
                <w:sz w:val="18"/>
                <w:szCs w:val="18"/>
                <w:color w:val="auto"/>
              </w:rPr>
            </w:pPr>
          </w:p>
        </w:tc>
        <w:tc>
          <w:tcPr>
            <w:tcW w:w="8700" w:type="dxa"/>
            <w:vAlign w:val="bottom"/>
          </w:tcPr>
          <w:p>
            <w:pPr>
              <w:ind w:left="940"/>
              <w:spacing w:after="0"/>
              <w:rPr>
                <w:sz w:val="20"/>
                <w:szCs w:val="20"/>
                <w:color w:val="auto"/>
              </w:rPr>
            </w:pPr>
            <w:r>
              <w:rPr>
                <w:rFonts w:ascii="Arial" w:cs="Arial" w:eastAsia="Arial" w:hAnsi="Arial"/>
                <w:sz w:val="18"/>
                <w:szCs w:val="18"/>
                <w:color w:val="auto"/>
              </w:rPr>
              <w:t>presented for voting at the Annual Meeting.</w:t>
            </w:r>
          </w:p>
        </w:tc>
      </w:tr>
      <w:tr>
        <w:trPr>
          <w:trHeight w:val="310"/>
        </w:trPr>
        <w:tc>
          <w:tcPr>
            <w:tcW w:w="2560" w:type="dxa"/>
            <w:vAlign w:val="bottom"/>
          </w:tcPr>
          <w:p>
            <w:pPr>
              <w:spacing w:after="0"/>
              <w:rPr>
                <w:sz w:val="20"/>
                <w:szCs w:val="20"/>
                <w:color w:val="auto"/>
              </w:rPr>
            </w:pPr>
            <w:r>
              <w:rPr>
                <w:rFonts w:ascii="Arial" w:cs="Arial" w:eastAsia="Arial" w:hAnsi="Arial"/>
                <w:sz w:val="18"/>
                <w:szCs w:val="18"/>
                <w:b w:val="1"/>
                <w:bCs w:val="1"/>
                <w:color w:val="E36F1E"/>
              </w:rPr>
              <w:t>Voting Results</w:t>
            </w:r>
          </w:p>
        </w:tc>
        <w:tc>
          <w:tcPr>
            <w:tcW w:w="8700" w:type="dxa"/>
            <w:vAlign w:val="bottom"/>
          </w:tcPr>
          <w:p>
            <w:pPr>
              <w:ind w:left="940"/>
              <w:spacing w:after="0"/>
              <w:rPr>
                <w:sz w:val="20"/>
                <w:szCs w:val="20"/>
                <w:color w:val="auto"/>
              </w:rPr>
            </w:pPr>
            <w:r>
              <w:rPr>
                <w:rFonts w:ascii="Arial" w:cs="Arial" w:eastAsia="Arial" w:hAnsi="Arial"/>
                <w:sz w:val="18"/>
                <w:szCs w:val="18"/>
                <w:color w:val="auto"/>
              </w:rPr>
              <w:t>We will announce preliminary results at the Annual Meeting. We will report final results by filing a</w:t>
            </w:r>
          </w:p>
        </w:tc>
      </w:tr>
      <w:tr>
        <w:trPr>
          <w:trHeight w:val="202"/>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Form 8-K within four business days after the Annual Meeting. If final results are not available at</w:t>
            </w:r>
          </w:p>
        </w:tc>
      </w:tr>
      <w:tr>
        <w:trPr>
          <w:trHeight w:val="203"/>
        </w:trPr>
        <w:tc>
          <w:tcPr>
            <w:tcW w:w="2560" w:type="dxa"/>
            <w:vAlign w:val="bottom"/>
          </w:tcPr>
          <w:p>
            <w:pPr>
              <w:spacing w:after="0"/>
              <w:rPr>
                <w:sz w:val="17"/>
                <w:szCs w:val="17"/>
                <w:color w:val="auto"/>
              </w:rPr>
            </w:pPr>
          </w:p>
        </w:tc>
        <w:tc>
          <w:tcPr>
            <w:tcW w:w="8700" w:type="dxa"/>
            <w:vAlign w:val="bottom"/>
          </w:tcPr>
          <w:p>
            <w:pPr>
              <w:ind w:left="940"/>
              <w:spacing w:after="0" w:line="202" w:lineRule="exact"/>
              <w:rPr>
                <w:sz w:val="20"/>
                <w:szCs w:val="20"/>
                <w:color w:val="auto"/>
              </w:rPr>
            </w:pPr>
            <w:r>
              <w:rPr>
                <w:rFonts w:ascii="Arial" w:cs="Arial" w:eastAsia="Arial" w:hAnsi="Arial"/>
                <w:sz w:val="18"/>
                <w:szCs w:val="18"/>
                <w:color w:val="auto"/>
              </w:rPr>
              <w:t>that time, we will provide preliminary voting results in the Form 8-K and will provide the final</w:t>
            </w:r>
          </w:p>
        </w:tc>
      </w:tr>
      <w:tr>
        <w:trPr>
          <w:trHeight w:val="217"/>
        </w:trPr>
        <w:tc>
          <w:tcPr>
            <w:tcW w:w="2560" w:type="dxa"/>
            <w:vAlign w:val="bottom"/>
          </w:tcPr>
          <w:p>
            <w:pPr>
              <w:spacing w:after="0"/>
              <w:rPr>
                <w:sz w:val="18"/>
                <w:szCs w:val="18"/>
                <w:color w:val="auto"/>
              </w:rPr>
            </w:pPr>
          </w:p>
        </w:tc>
        <w:tc>
          <w:tcPr>
            <w:tcW w:w="8700" w:type="dxa"/>
            <w:vAlign w:val="bottom"/>
          </w:tcPr>
          <w:p>
            <w:pPr>
              <w:ind w:left="940"/>
              <w:spacing w:after="0"/>
              <w:rPr>
                <w:sz w:val="20"/>
                <w:szCs w:val="20"/>
                <w:color w:val="auto"/>
              </w:rPr>
            </w:pPr>
            <w:r>
              <w:rPr>
                <w:rFonts w:ascii="Arial" w:cs="Arial" w:eastAsia="Arial" w:hAnsi="Arial"/>
                <w:sz w:val="18"/>
                <w:szCs w:val="18"/>
                <w:color w:val="auto"/>
              </w:rPr>
              <w:t>results in an amendment to the Form 8-K as soon as they become available.</w:t>
            </w:r>
          </w:p>
        </w:tc>
      </w:tr>
      <w:tr>
        <w:trPr>
          <w:trHeight w:val="540"/>
        </w:trPr>
        <w:tc>
          <w:tcPr>
            <w:tcW w:w="2560" w:type="dxa"/>
            <w:vAlign w:val="bottom"/>
          </w:tcPr>
          <w:p>
            <w:pPr>
              <w:spacing w:after="0"/>
              <w:rPr>
                <w:sz w:val="24"/>
                <w:szCs w:val="24"/>
                <w:color w:val="auto"/>
              </w:rPr>
            </w:pPr>
          </w:p>
        </w:tc>
        <w:tc>
          <w:tcPr>
            <w:tcW w:w="8700" w:type="dxa"/>
            <w:vAlign w:val="bottom"/>
          </w:tcPr>
          <w:p>
            <w:pPr>
              <w:ind w:left="5000"/>
              <w:spacing w:after="0"/>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rFonts w:ascii="Arial" w:cs="Arial" w:eastAsia="Arial" w:hAnsi="Arial"/>
                <w:sz w:val="18"/>
                <w:szCs w:val="18"/>
                <w:color w:val="455560"/>
              </w:rPr>
              <w:t xml:space="preserve">  </w:t>
            </w:r>
            <w:r>
              <w:rPr>
                <w:rFonts w:ascii="Arial" w:cs="Arial" w:eastAsia="Arial" w:hAnsi="Arial"/>
                <w:sz w:val="18"/>
                <w:szCs w:val="18"/>
                <w:b w:val="1"/>
                <w:bCs w:val="1"/>
                <w:color w:val="000000"/>
              </w:rPr>
              <w:t>2</w:t>
            </w:r>
          </w:p>
        </w:tc>
      </w:tr>
      <w:tr>
        <w:trPr>
          <w:trHeight w:val="101"/>
        </w:trPr>
        <w:tc>
          <w:tcPr>
            <w:tcW w:w="2560" w:type="dxa"/>
            <w:vAlign w:val="bottom"/>
            <w:tcBorders>
              <w:bottom w:val="single" w:sz="8" w:color="9A9A9A"/>
            </w:tcBorders>
          </w:tcPr>
          <w:p>
            <w:pPr>
              <w:spacing w:after="0"/>
              <w:rPr>
                <w:sz w:val="8"/>
                <w:szCs w:val="8"/>
                <w:color w:val="auto"/>
              </w:rPr>
            </w:pPr>
          </w:p>
        </w:tc>
        <w:tc>
          <w:tcPr>
            <w:tcW w:w="8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4"/>
        </w:trPr>
        <w:tc>
          <w:tcPr>
            <w:tcW w:w="2980" w:type="dxa"/>
            <w:vAlign w:val="bottom"/>
          </w:tcPr>
          <w:p>
            <w:pPr>
              <w:spacing w:after="0"/>
              <w:rPr>
                <w:sz w:val="20"/>
                <w:szCs w:val="20"/>
                <w:color w:val="auto"/>
              </w:rPr>
            </w:pPr>
            <w:r>
              <w:rPr>
                <w:rFonts w:ascii="Arial" w:cs="Arial" w:eastAsia="Arial" w:hAnsi="Arial"/>
                <w:sz w:val="18"/>
                <w:szCs w:val="18"/>
                <w:b w:val="1"/>
                <w:bCs w:val="1"/>
                <w:color w:val="E36F1E"/>
              </w:rPr>
              <w:t>Additional Solicitation/Costs</w:t>
            </w:r>
          </w:p>
        </w:tc>
        <w:tc>
          <w:tcPr>
            <w:tcW w:w="8280" w:type="dxa"/>
            <w:vAlign w:val="bottom"/>
          </w:tcPr>
          <w:p>
            <w:pPr>
              <w:ind w:left="520"/>
              <w:spacing w:after="0"/>
              <w:rPr>
                <w:sz w:val="20"/>
                <w:szCs w:val="20"/>
                <w:color w:val="auto"/>
              </w:rPr>
            </w:pPr>
            <w:r>
              <w:rPr>
                <w:rFonts w:ascii="Arial" w:cs="Arial" w:eastAsia="Arial" w:hAnsi="Arial"/>
                <w:sz w:val="18"/>
                <w:szCs w:val="18"/>
                <w:color w:val="auto"/>
              </w:rPr>
              <w:t>We are paying for the distribution of the proxy materials and solicitation of the proxies. As part of</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this process, we reimburse brokerage houses and other custodians, nominees and fiduciaries for</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their reasonable out-of-pocket expenses for forwarding proxy and solicitation materials to our</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stockholders. Proxy solicitation expenses that we will pay include those for preparation, mailing,</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returning and tabulating the proxies. Our directors, officers, and employees may also solicit</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proxies on our behalf in person, by telephone, email or facsimile, but they do not receive</w:t>
            </w:r>
          </w:p>
        </w:tc>
      </w:tr>
      <w:tr>
        <w:trPr>
          <w:trHeight w:val="217"/>
        </w:trPr>
        <w:tc>
          <w:tcPr>
            <w:tcW w:w="298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additional compensation for providing those services.</w:t>
            </w:r>
          </w:p>
        </w:tc>
      </w:tr>
      <w:tr>
        <w:trPr>
          <w:trHeight w:val="310"/>
        </w:trPr>
        <w:tc>
          <w:tcPr>
            <w:tcW w:w="2980" w:type="dxa"/>
            <w:vAlign w:val="bottom"/>
          </w:tcPr>
          <w:p>
            <w:pPr>
              <w:spacing w:after="0"/>
              <w:rPr>
                <w:sz w:val="20"/>
                <w:szCs w:val="20"/>
                <w:color w:val="auto"/>
              </w:rPr>
            </w:pPr>
            <w:r>
              <w:rPr>
                <w:rFonts w:ascii="Arial" w:cs="Arial" w:eastAsia="Arial" w:hAnsi="Arial"/>
                <w:sz w:val="18"/>
                <w:szCs w:val="18"/>
                <w:b w:val="1"/>
                <w:bCs w:val="1"/>
                <w:color w:val="E36F1E"/>
              </w:rPr>
              <w:t>Householding</w:t>
            </w:r>
          </w:p>
        </w:tc>
        <w:tc>
          <w:tcPr>
            <w:tcW w:w="8280" w:type="dxa"/>
            <w:vAlign w:val="bottom"/>
          </w:tcPr>
          <w:p>
            <w:pPr>
              <w:ind w:left="520"/>
              <w:spacing w:after="0"/>
              <w:rPr>
                <w:sz w:val="20"/>
                <w:szCs w:val="20"/>
                <w:color w:val="auto"/>
              </w:rPr>
            </w:pPr>
            <w:r>
              <w:rPr>
                <w:rFonts w:ascii="Arial" w:cs="Arial" w:eastAsia="Arial" w:hAnsi="Arial"/>
                <w:sz w:val="18"/>
                <w:szCs w:val="18"/>
                <w:color w:val="auto"/>
              </w:rPr>
              <w:t>Some banks, brokers, and other nominee record holders may be participating in the practice of</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“householding” proxy statements and annual reports. This means that only one copy of the</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Notice, Proxy Statement, and Annual Report on Form 10-K for the year ended December 31,</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2019, as applicable, is being delivered to multiple stockholders sharing an address unless we</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have received contrary instructions. We will promptly deliver a separate copy of any of these</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documents to you if you write to us at Investor Relations at HubSpot, Inc., 25 First Street,</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Cambridge, MA 02141 or call (888) 482-7768. If you want to receive separate copies of the</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Notice, Proxy Statement, or Annual Report on Form 10-K in the future, or if you are receiving</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multiple copies and would like to receive only one copy for your household, you should contact</w:t>
            </w:r>
          </w:p>
        </w:tc>
      </w:tr>
      <w:tr>
        <w:trPr>
          <w:trHeight w:val="203"/>
        </w:trPr>
        <w:tc>
          <w:tcPr>
            <w:tcW w:w="2980" w:type="dxa"/>
            <w:vAlign w:val="bottom"/>
          </w:tcPr>
          <w:p>
            <w:pPr>
              <w:spacing w:after="0"/>
              <w:rPr>
                <w:sz w:val="17"/>
                <w:szCs w:val="17"/>
                <w:color w:val="auto"/>
              </w:rPr>
            </w:pPr>
          </w:p>
        </w:tc>
        <w:tc>
          <w:tcPr>
            <w:tcW w:w="8280" w:type="dxa"/>
            <w:vAlign w:val="bottom"/>
          </w:tcPr>
          <w:p>
            <w:pPr>
              <w:ind w:left="520"/>
              <w:spacing w:after="0" w:line="202" w:lineRule="exact"/>
              <w:rPr>
                <w:sz w:val="20"/>
                <w:szCs w:val="20"/>
                <w:color w:val="auto"/>
              </w:rPr>
            </w:pPr>
            <w:r>
              <w:rPr>
                <w:rFonts w:ascii="Arial" w:cs="Arial" w:eastAsia="Arial" w:hAnsi="Arial"/>
                <w:sz w:val="18"/>
                <w:szCs w:val="18"/>
                <w:color w:val="auto"/>
              </w:rPr>
              <w:t>your bank, broker, or other nominee record holder, or you may contact us at the above address</w:t>
            </w:r>
          </w:p>
        </w:tc>
      </w:tr>
      <w:tr>
        <w:trPr>
          <w:trHeight w:val="217"/>
        </w:trPr>
        <w:tc>
          <w:tcPr>
            <w:tcW w:w="298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or telephone number.</w:t>
            </w:r>
          </w:p>
        </w:tc>
      </w:tr>
      <w:tr>
        <w:trPr>
          <w:trHeight w:val="877"/>
        </w:trPr>
        <w:tc>
          <w:tcPr>
            <w:tcW w:w="2980" w:type="dxa"/>
            <w:vAlign w:val="bottom"/>
          </w:tcPr>
          <w:p>
            <w:pPr>
              <w:spacing w:after="0"/>
              <w:rPr>
                <w:sz w:val="24"/>
                <w:szCs w:val="24"/>
                <w:color w:val="auto"/>
              </w:rPr>
            </w:pPr>
          </w:p>
        </w:tc>
        <w:tc>
          <w:tcPr>
            <w:tcW w:w="8280" w:type="dxa"/>
            <w:vAlign w:val="bottom"/>
          </w:tcPr>
          <w:p>
            <w:pPr>
              <w:ind w:left="4580"/>
              <w:spacing w:after="0"/>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rFonts w:ascii="Arial" w:cs="Arial" w:eastAsia="Arial" w:hAnsi="Arial"/>
                <w:sz w:val="18"/>
                <w:szCs w:val="18"/>
                <w:color w:val="455560"/>
              </w:rPr>
              <w:t xml:space="preserve">  </w:t>
            </w:r>
            <w:r>
              <w:rPr>
                <w:rFonts w:ascii="Arial" w:cs="Arial" w:eastAsia="Arial" w:hAnsi="Arial"/>
                <w:sz w:val="18"/>
                <w:szCs w:val="18"/>
                <w:b w:val="1"/>
                <w:bCs w:val="1"/>
                <w:color w:val="000000"/>
              </w:rPr>
              <w:t>3</w:t>
            </w:r>
          </w:p>
        </w:tc>
      </w:tr>
      <w:tr>
        <w:trPr>
          <w:trHeight w:val="102"/>
        </w:trPr>
        <w:tc>
          <w:tcPr>
            <w:tcW w:w="2980" w:type="dxa"/>
            <w:vAlign w:val="bottom"/>
            <w:tcBorders>
              <w:bottom w:val="single" w:sz="8" w:color="9A9A9A"/>
            </w:tcBorders>
          </w:tcPr>
          <w:p>
            <w:pPr>
              <w:spacing w:after="0"/>
              <w:rPr>
                <w:sz w:val="8"/>
                <w:szCs w:val="8"/>
                <w:color w:val="auto"/>
              </w:rPr>
            </w:pPr>
          </w:p>
        </w:tc>
        <w:tc>
          <w:tcPr>
            <w:tcW w:w="8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E36F1E"/>
        </w:rPr>
        <w:t>DIRECTORS AND EXECUTIVE OFFICERS</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identifies our Board and executive officers and sets forth their current position(s) at HubSpot and their ages as of April 24, 2020:</w:t>
      </w:r>
    </w:p>
    <w:p>
      <w:pPr>
        <w:spacing w:after="0" w:line="225"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21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320" w:type="dxa"/>
            <w:vAlign w:val="bottom"/>
            <w:shd w:val="clear" w:color="auto" w:fill="E36F1E"/>
          </w:tcPr>
          <w:p>
            <w:pPr>
              <w:jc w:val="center"/>
              <w:ind w:left="371"/>
              <w:spacing w:after="0"/>
              <w:rPr>
                <w:sz w:val="20"/>
                <w:szCs w:val="20"/>
                <w:color w:val="auto"/>
              </w:rPr>
            </w:pPr>
            <w:r>
              <w:rPr>
                <w:rFonts w:ascii="Arial" w:cs="Arial" w:eastAsia="Arial" w:hAnsi="Arial"/>
                <w:sz w:val="14"/>
                <w:szCs w:val="14"/>
                <w:b w:val="1"/>
                <w:bCs w:val="1"/>
                <w:color w:val="FFFFFF"/>
                <w:w w:val="98"/>
              </w:rPr>
              <w:t>Age</w:t>
            </w:r>
          </w:p>
        </w:tc>
        <w:tc>
          <w:tcPr>
            <w:tcW w:w="5600" w:type="dxa"/>
            <w:vAlign w:val="bottom"/>
            <w:shd w:val="clear" w:color="auto" w:fill="E36F1E"/>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237"/>
        </w:trPr>
        <w:tc>
          <w:tcPr>
            <w:tcW w:w="2180" w:type="dxa"/>
            <w:vAlign w:val="bottom"/>
            <w:tcBorders>
              <w:bottom w:val="single" w:sz="8" w:color="C6D9F1"/>
            </w:tcBorders>
            <w:shd w:val="clear" w:color="auto" w:fill="C6D9F1"/>
          </w:tcPr>
          <w:p>
            <w:pPr>
              <w:spacing w:after="0"/>
              <w:rPr>
                <w:sz w:val="20"/>
                <w:szCs w:val="20"/>
                <w:color w:val="auto"/>
              </w:rPr>
            </w:pPr>
            <w:r>
              <w:rPr>
                <w:rFonts w:ascii="Arial" w:cs="Arial" w:eastAsia="Arial" w:hAnsi="Arial"/>
                <w:sz w:val="18"/>
                <w:szCs w:val="18"/>
                <w:i w:val="1"/>
                <w:iCs w:val="1"/>
                <w:color w:val="auto"/>
              </w:rPr>
              <w:t>Executive Officers</w:t>
            </w:r>
          </w:p>
        </w:tc>
        <w:tc>
          <w:tcPr>
            <w:tcW w:w="1320" w:type="dxa"/>
            <w:vAlign w:val="bottom"/>
            <w:tcBorders>
              <w:bottom w:val="single" w:sz="8" w:color="C6D9F1"/>
            </w:tcBorders>
            <w:shd w:val="clear" w:color="auto" w:fill="C6D9F1"/>
          </w:tcPr>
          <w:p>
            <w:pPr>
              <w:spacing w:after="0"/>
              <w:rPr>
                <w:sz w:val="20"/>
                <w:szCs w:val="20"/>
                <w:color w:val="auto"/>
              </w:rPr>
            </w:pPr>
          </w:p>
        </w:tc>
        <w:tc>
          <w:tcPr>
            <w:tcW w:w="5600" w:type="dxa"/>
            <w:vAlign w:val="bottom"/>
            <w:tcBorders>
              <w:bottom w:val="single" w:sz="8" w:color="C6D9F1"/>
            </w:tcBorders>
            <w:shd w:val="clear" w:color="auto" w:fill="C6D9F1"/>
          </w:tcPr>
          <w:p>
            <w:pPr>
              <w:spacing w:after="0"/>
              <w:rPr>
                <w:sz w:val="20"/>
                <w:szCs w:val="20"/>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Brian Halligan</w:t>
            </w:r>
          </w:p>
        </w:tc>
        <w:tc>
          <w:tcPr>
            <w:tcW w:w="1320" w:type="dxa"/>
            <w:vAlign w:val="bottom"/>
          </w:tcPr>
          <w:p>
            <w:pPr>
              <w:jc w:val="center"/>
              <w:ind w:left="351"/>
              <w:spacing w:after="0"/>
              <w:rPr>
                <w:sz w:val="20"/>
                <w:szCs w:val="20"/>
                <w:color w:val="auto"/>
              </w:rPr>
            </w:pPr>
            <w:r>
              <w:rPr>
                <w:rFonts w:ascii="Arial" w:cs="Arial" w:eastAsia="Arial" w:hAnsi="Arial"/>
                <w:sz w:val="18"/>
                <w:szCs w:val="18"/>
                <w:color w:val="auto"/>
                <w:w w:val="99"/>
              </w:rPr>
              <w:t>52</w:t>
            </w:r>
          </w:p>
        </w:tc>
        <w:tc>
          <w:tcPr>
            <w:tcW w:w="5600" w:type="dxa"/>
            <w:vAlign w:val="bottom"/>
          </w:tcPr>
          <w:p>
            <w:pPr>
              <w:ind w:left="320"/>
              <w:spacing w:after="0"/>
              <w:rPr>
                <w:sz w:val="20"/>
                <w:szCs w:val="20"/>
                <w:color w:val="auto"/>
              </w:rPr>
            </w:pPr>
            <w:r>
              <w:rPr>
                <w:rFonts w:ascii="Arial" w:cs="Arial" w:eastAsia="Arial" w:hAnsi="Arial"/>
                <w:sz w:val="18"/>
                <w:szCs w:val="18"/>
                <w:color w:val="auto"/>
              </w:rPr>
              <w:t>Co-founder, Chairman of the Board, and Chief Executive Officer</w:t>
            </w:r>
          </w:p>
        </w:tc>
      </w:tr>
      <w:tr>
        <w:trPr>
          <w:trHeight w:val="237"/>
        </w:trPr>
        <w:tc>
          <w:tcPr>
            <w:tcW w:w="2180" w:type="dxa"/>
            <w:vAlign w:val="bottom"/>
            <w:tcBorders>
              <w:bottom w:val="single" w:sz="8" w:color="BFBFBF"/>
            </w:tcBorders>
            <w:shd w:val="clear" w:color="auto" w:fill="BFBFBF"/>
          </w:tcPr>
          <w:p>
            <w:pPr>
              <w:spacing w:after="0"/>
              <w:rPr>
                <w:sz w:val="20"/>
                <w:szCs w:val="20"/>
                <w:color w:val="auto"/>
              </w:rPr>
            </w:pPr>
            <w:r>
              <w:rPr>
                <w:rFonts w:ascii="Arial" w:cs="Arial" w:eastAsia="Arial" w:hAnsi="Arial"/>
                <w:sz w:val="18"/>
                <w:szCs w:val="18"/>
                <w:color w:val="auto"/>
              </w:rPr>
              <w:t>Dharmesh Shah</w:t>
            </w:r>
          </w:p>
        </w:tc>
        <w:tc>
          <w:tcPr>
            <w:tcW w:w="1320" w:type="dxa"/>
            <w:vAlign w:val="bottom"/>
            <w:tcBorders>
              <w:bottom w:val="single" w:sz="8" w:color="BFBFBF"/>
            </w:tcBorders>
            <w:shd w:val="clear" w:color="auto" w:fill="BFBFBF"/>
          </w:tcPr>
          <w:p>
            <w:pPr>
              <w:jc w:val="center"/>
              <w:ind w:left="351"/>
              <w:spacing w:after="0"/>
              <w:rPr>
                <w:sz w:val="20"/>
                <w:szCs w:val="20"/>
                <w:color w:val="auto"/>
              </w:rPr>
            </w:pPr>
            <w:r>
              <w:rPr>
                <w:rFonts w:ascii="Arial" w:cs="Arial" w:eastAsia="Arial" w:hAnsi="Arial"/>
                <w:sz w:val="18"/>
                <w:szCs w:val="18"/>
                <w:color w:val="auto"/>
                <w:w w:val="99"/>
              </w:rPr>
              <w:t>52</w:t>
            </w:r>
          </w:p>
        </w:tc>
        <w:tc>
          <w:tcPr>
            <w:tcW w:w="5600" w:type="dxa"/>
            <w:vAlign w:val="bottom"/>
            <w:tcBorders>
              <w:bottom w:val="single" w:sz="8" w:color="BFBFBF"/>
            </w:tcBorders>
            <w:shd w:val="clear" w:color="auto" w:fill="BFBFBF"/>
          </w:tcPr>
          <w:p>
            <w:pPr>
              <w:ind w:left="320"/>
              <w:spacing w:after="0"/>
              <w:rPr>
                <w:sz w:val="20"/>
                <w:szCs w:val="20"/>
                <w:color w:val="auto"/>
              </w:rPr>
            </w:pPr>
            <w:r>
              <w:rPr>
                <w:rFonts w:ascii="Arial" w:cs="Arial" w:eastAsia="Arial" w:hAnsi="Arial"/>
                <w:sz w:val="18"/>
                <w:szCs w:val="18"/>
                <w:color w:val="auto"/>
              </w:rPr>
              <w:t>Co-founder, Director, and Chief Technology Officer</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JD Sherman</w:t>
            </w:r>
          </w:p>
        </w:tc>
        <w:tc>
          <w:tcPr>
            <w:tcW w:w="1320" w:type="dxa"/>
            <w:vAlign w:val="bottom"/>
          </w:tcPr>
          <w:p>
            <w:pPr>
              <w:jc w:val="center"/>
              <w:ind w:left="351"/>
              <w:spacing w:after="0"/>
              <w:rPr>
                <w:sz w:val="20"/>
                <w:szCs w:val="20"/>
                <w:color w:val="auto"/>
              </w:rPr>
            </w:pPr>
            <w:r>
              <w:rPr>
                <w:rFonts w:ascii="Arial" w:cs="Arial" w:eastAsia="Arial" w:hAnsi="Arial"/>
                <w:sz w:val="18"/>
                <w:szCs w:val="18"/>
                <w:color w:val="auto"/>
                <w:w w:val="99"/>
              </w:rPr>
              <w:t>54</w:t>
            </w:r>
          </w:p>
        </w:tc>
        <w:tc>
          <w:tcPr>
            <w:tcW w:w="5600" w:type="dxa"/>
            <w:vAlign w:val="bottom"/>
          </w:tcPr>
          <w:p>
            <w:pPr>
              <w:ind w:left="320"/>
              <w:spacing w:after="0"/>
              <w:rPr>
                <w:sz w:val="20"/>
                <w:szCs w:val="20"/>
                <w:color w:val="auto"/>
              </w:rPr>
            </w:pPr>
            <w:r>
              <w:rPr>
                <w:rFonts w:ascii="Arial" w:cs="Arial" w:eastAsia="Arial" w:hAnsi="Arial"/>
                <w:sz w:val="18"/>
                <w:szCs w:val="18"/>
                <w:color w:val="auto"/>
              </w:rPr>
              <w:t>President and Chief Operating Officer</w:t>
            </w:r>
          </w:p>
        </w:tc>
      </w:tr>
      <w:tr>
        <w:trPr>
          <w:trHeight w:val="237"/>
        </w:trPr>
        <w:tc>
          <w:tcPr>
            <w:tcW w:w="2180" w:type="dxa"/>
            <w:vAlign w:val="bottom"/>
            <w:tcBorders>
              <w:bottom w:val="single" w:sz="8" w:color="BFBFBF"/>
            </w:tcBorders>
            <w:shd w:val="clear" w:color="auto" w:fill="BFBFBF"/>
          </w:tcPr>
          <w:p>
            <w:pPr>
              <w:spacing w:after="0"/>
              <w:rPr>
                <w:sz w:val="20"/>
                <w:szCs w:val="20"/>
                <w:color w:val="auto"/>
              </w:rPr>
            </w:pPr>
            <w:r>
              <w:rPr>
                <w:rFonts w:ascii="Arial" w:cs="Arial" w:eastAsia="Arial" w:hAnsi="Arial"/>
                <w:sz w:val="18"/>
                <w:szCs w:val="18"/>
                <w:color w:val="auto"/>
              </w:rPr>
              <w:t>Kate Bueker</w:t>
            </w:r>
          </w:p>
        </w:tc>
        <w:tc>
          <w:tcPr>
            <w:tcW w:w="1320" w:type="dxa"/>
            <w:vAlign w:val="bottom"/>
            <w:tcBorders>
              <w:bottom w:val="single" w:sz="8" w:color="BFBFBF"/>
            </w:tcBorders>
            <w:shd w:val="clear" w:color="auto" w:fill="BFBFBF"/>
          </w:tcPr>
          <w:p>
            <w:pPr>
              <w:jc w:val="center"/>
              <w:ind w:left="351"/>
              <w:spacing w:after="0"/>
              <w:rPr>
                <w:sz w:val="20"/>
                <w:szCs w:val="20"/>
                <w:color w:val="auto"/>
              </w:rPr>
            </w:pPr>
            <w:r>
              <w:rPr>
                <w:rFonts w:ascii="Arial" w:cs="Arial" w:eastAsia="Arial" w:hAnsi="Arial"/>
                <w:sz w:val="18"/>
                <w:szCs w:val="18"/>
                <w:color w:val="auto"/>
                <w:w w:val="99"/>
              </w:rPr>
              <w:t>49</w:t>
            </w:r>
          </w:p>
        </w:tc>
        <w:tc>
          <w:tcPr>
            <w:tcW w:w="5600" w:type="dxa"/>
            <w:vAlign w:val="bottom"/>
            <w:tcBorders>
              <w:bottom w:val="single" w:sz="8" w:color="BFBFBF"/>
            </w:tcBorders>
            <w:shd w:val="clear" w:color="auto" w:fill="BFBFBF"/>
          </w:tcPr>
          <w:p>
            <w:pPr>
              <w:ind w:left="3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John Kelleher</w:t>
            </w:r>
          </w:p>
        </w:tc>
        <w:tc>
          <w:tcPr>
            <w:tcW w:w="1320" w:type="dxa"/>
            <w:vAlign w:val="bottom"/>
          </w:tcPr>
          <w:p>
            <w:pPr>
              <w:jc w:val="center"/>
              <w:ind w:left="351"/>
              <w:spacing w:after="0"/>
              <w:rPr>
                <w:sz w:val="20"/>
                <w:szCs w:val="20"/>
                <w:color w:val="auto"/>
              </w:rPr>
            </w:pPr>
            <w:r>
              <w:rPr>
                <w:rFonts w:ascii="Arial" w:cs="Arial" w:eastAsia="Arial" w:hAnsi="Arial"/>
                <w:sz w:val="18"/>
                <w:szCs w:val="18"/>
                <w:color w:val="auto"/>
                <w:w w:val="99"/>
              </w:rPr>
              <w:t>54</w:t>
            </w:r>
          </w:p>
        </w:tc>
        <w:tc>
          <w:tcPr>
            <w:tcW w:w="5600" w:type="dxa"/>
            <w:vAlign w:val="bottom"/>
          </w:tcPr>
          <w:p>
            <w:pPr>
              <w:ind w:left="320"/>
              <w:spacing w:after="0"/>
              <w:rPr>
                <w:sz w:val="20"/>
                <w:szCs w:val="20"/>
                <w:color w:val="auto"/>
              </w:rPr>
            </w:pPr>
            <w:r>
              <w:rPr>
                <w:rFonts w:ascii="Arial" w:cs="Arial" w:eastAsia="Arial" w:hAnsi="Arial"/>
                <w:sz w:val="18"/>
                <w:szCs w:val="18"/>
                <w:color w:val="auto"/>
              </w:rPr>
              <w:t>General Counsel and Secretary</w:t>
            </w:r>
          </w:p>
        </w:tc>
      </w:tr>
      <w:tr>
        <w:trPr>
          <w:trHeight w:val="27"/>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16"/>
        </w:trPr>
        <w:tc>
          <w:tcPr>
            <w:tcW w:w="2180" w:type="dxa"/>
            <w:vAlign w:val="bottom"/>
            <w:shd w:val="clear" w:color="auto" w:fill="BFBFBF"/>
          </w:tcPr>
          <w:p>
            <w:pPr>
              <w:spacing w:after="0"/>
              <w:rPr>
                <w:sz w:val="20"/>
                <w:szCs w:val="20"/>
                <w:color w:val="auto"/>
              </w:rPr>
            </w:pPr>
            <w:r>
              <w:rPr>
                <w:rFonts w:ascii="Arial" w:cs="Arial" w:eastAsia="Arial" w:hAnsi="Arial"/>
                <w:sz w:val="18"/>
                <w:szCs w:val="18"/>
                <w:color w:val="auto"/>
              </w:rPr>
              <w:t>Yamini Rangan</w:t>
            </w:r>
          </w:p>
        </w:tc>
        <w:tc>
          <w:tcPr>
            <w:tcW w:w="1320" w:type="dxa"/>
            <w:vAlign w:val="bottom"/>
            <w:shd w:val="clear" w:color="auto" w:fill="BFBFBF"/>
          </w:tcPr>
          <w:p>
            <w:pPr>
              <w:jc w:val="center"/>
              <w:ind w:left="351"/>
              <w:spacing w:after="0"/>
              <w:rPr>
                <w:sz w:val="20"/>
                <w:szCs w:val="20"/>
                <w:color w:val="auto"/>
              </w:rPr>
            </w:pPr>
            <w:r>
              <w:rPr>
                <w:rFonts w:ascii="Arial" w:cs="Arial" w:eastAsia="Arial" w:hAnsi="Arial"/>
                <w:sz w:val="18"/>
                <w:szCs w:val="18"/>
                <w:color w:val="auto"/>
                <w:w w:val="99"/>
              </w:rPr>
              <w:t>46</w:t>
            </w:r>
          </w:p>
        </w:tc>
        <w:tc>
          <w:tcPr>
            <w:tcW w:w="5600" w:type="dxa"/>
            <w:vAlign w:val="bottom"/>
            <w:shd w:val="clear" w:color="auto" w:fill="BFBFBF"/>
          </w:tcPr>
          <w:p>
            <w:pPr>
              <w:ind w:left="320"/>
              <w:spacing w:after="0"/>
              <w:rPr>
                <w:sz w:val="20"/>
                <w:szCs w:val="20"/>
                <w:color w:val="auto"/>
              </w:rPr>
            </w:pPr>
            <w:r>
              <w:rPr>
                <w:rFonts w:ascii="Arial" w:cs="Arial" w:eastAsia="Arial" w:hAnsi="Arial"/>
                <w:sz w:val="18"/>
                <w:szCs w:val="18"/>
                <w:color w:val="auto"/>
              </w:rPr>
              <w:t>Chief Customer Officer</w:t>
            </w:r>
          </w:p>
        </w:tc>
      </w:tr>
      <w:tr>
        <w:trPr>
          <w:trHeight w:val="237"/>
        </w:trPr>
        <w:tc>
          <w:tcPr>
            <w:tcW w:w="2180" w:type="dxa"/>
            <w:vAlign w:val="bottom"/>
            <w:tcBorders>
              <w:bottom w:val="single" w:sz="8" w:color="C6D9F1"/>
            </w:tcBorders>
            <w:shd w:val="clear" w:color="auto" w:fill="C6D9F1"/>
          </w:tcPr>
          <w:p>
            <w:pPr>
              <w:spacing w:after="0"/>
              <w:rPr>
                <w:sz w:val="20"/>
                <w:szCs w:val="20"/>
                <w:color w:val="auto"/>
              </w:rPr>
            </w:pPr>
            <w:r>
              <w:rPr>
                <w:rFonts w:ascii="Arial" w:cs="Arial" w:eastAsia="Arial" w:hAnsi="Arial"/>
                <w:sz w:val="18"/>
                <w:szCs w:val="18"/>
                <w:i w:val="1"/>
                <w:iCs w:val="1"/>
                <w:color w:val="auto"/>
              </w:rPr>
              <w:t>Directors</w:t>
            </w:r>
          </w:p>
        </w:tc>
        <w:tc>
          <w:tcPr>
            <w:tcW w:w="1320" w:type="dxa"/>
            <w:vAlign w:val="bottom"/>
            <w:tcBorders>
              <w:bottom w:val="single" w:sz="8" w:color="C6D9F1"/>
            </w:tcBorders>
            <w:shd w:val="clear" w:color="auto" w:fill="C6D9F1"/>
          </w:tcPr>
          <w:p>
            <w:pPr>
              <w:spacing w:after="0"/>
              <w:rPr>
                <w:sz w:val="20"/>
                <w:szCs w:val="20"/>
                <w:color w:val="auto"/>
              </w:rPr>
            </w:pPr>
          </w:p>
        </w:tc>
        <w:tc>
          <w:tcPr>
            <w:tcW w:w="5600" w:type="dxa"/>
            <w:vAlign w:val="bottom"/>
            <w:tcBorders>
              <w:bottom w:val="single" w:sz="8" w:color="C6D9F1"/>
            </w:tcBorders>
            <w:shd w:val="clear" w:color="auto" w:fill="C6D9F1"/>
          </w:tcPr>
          <w:p>
            <w:pPr>
              <w:spacing w:after="0"/>
              <w:rPr>
                <w:sz w:val="20"/>
                <w:szCs w:val="20"/>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Ron Gill</w:t>
            </w:r>
          </w:p>
        </w:tc>
        <w:tc>
          <w:tcPr>
            <w:tcW w:w="1320" w:type="dxa"/>
            <w:vAlign w:val="bottom"/>
          </w:tcPr>
          <w:p>
            <w:pPr>
              <w:jc w:val="center"/>
              <w:ind w:left="351"/>
              <w:spacing w:after="0"/>
              <w:rPr>
                <w:sz w:val="20"/>
                <w:szCs w:val="20"/>
                <w:color w:val="auto"/>
              </w:rPr>
            </w:pPr>
            <w:r>
              <w:rPr>
                <w:rFonts w:ascii="Arial" w:cs="Arial" w:eastAsia="Arial" w:hAnsi="Arial"/>
                <w:sz w:val="18"/>
                <w:szCs w:val="18"/>
                <w:color w:val="auto"/>
                <w:w w:val="99"/>
              </w:rPr>
              <w:t>54</w:t>
            </w:r>
          </w:p>
        </w:tc>
        <w:tc>
          <w:tcPr>
            <w:tcW w:w="560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7"/>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6"/>
        </w:trPr>
        <w:tc>
          <w:tcPr>
            <w:tcW w:w="2180" w:type="dxa"/>
            <w:vAlign w:val="bottom"/>
            <w:tcBorders>
              <w:bottom w:val="single" w:sz="8" w:color="BFBFBF"/>
            </w:tcBorders>
            <w:shd w:val="clear" w:color="auto" w:fill="BFBFBF"/>
          </w:tcPr>
          <w:p>
            <w:pPr>
              <w:spacing w:after="0"/>
              <w:rPr>
                <w:sz w:val="20"/>
                <w:szCs w:val="20"/>
                <w:color w:val="auto"/>
              </w:rPr>
            </w:pPr>
            <w:r>
              <w:rPr>
                <w:rFonts w:ascii="Arial" w:cs="Arial" w:eastAsia="Arial" w:hAnsi="Arial"/>
                <w:sz w:val="18"/>
                <w:szCs w:val="18"/>
                <w:color w:val="auto"/>
              </w:rPr>
              <w:t>Julie Herendeen</w:t>
            </w:r>
          </w:p>
        </w:tc>
        <w:tc>
          <w:tcPr>
            <w:tcW w:w="1320" w:type="dxa"/>
            <w:vAlign w:val="bottom"/>
            <w:tcBorders>
              <w:bottom w:val="single" w:sz="8" w:color="BFBFBF"/>
            </w:tcBorders>
            <w:shd w:val="clear" w:color="auto" w:fill="BFBFBF"/>
          </w:tcPr>
          <w:p>
            <w:pPr>
              <w:jc w:val="center"/>
              <w:ind w:left="351"/>
              <w:spacing w:after="0"/>
              <w:rPr>
                <w:sz w:val="20"/>
                <w:szCs w:val="20"/>
                <w:color w:val="auto"/>
              </w:rPr>
            </w:pPr>
            <w:r>
              <w:rPr>
                <w:rFonts w:ascii="Arial" w:cs="Arial" w:eastAsia="Arial" w:hAnsi="Arial"/>
                <w:sz w:val="18"/>
                <w:szCs w:val="18"/>
                <w:color w:val="auto"/>
                <w:w w:val="99"/>
              </w:rPr>
              <w:t>54</w:t>
            </w:r>
          </w:p>
        </w:tc>
        <w:tc>
          <w:tcPr>
            <w:tcW w:w="5600" w:type="dxa"/>
            <w:vAlign w:val="bottom"/>
            <w:tcBorders>
              <w:bottom w:val="single" w:sz="8" w:color="BFBFBF"/>
            </w:tcBorders>
            <w:shd w:val="clear" w:color="auto" w:fill="BFBFBF"/>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Lorrie Norrington</w:t>
            </w:r>
          </w:p>
        </w:tc>
        <w:tc>
          <w:tcPr>
            <w:tcW w:w="1320" w:type="dxa"/>
            <w:vAlign w:val="bottom"/>
          </w:tcPr>
          <w:p>
            <w:pPr>
              <w:jc w:val="center"/>
              <w:ind w:left="351"/>
              <w:spacing w:after="0"/>
              <w:rPr>
                <w:sz w:val="20"/>
                <w:szCs w:val="20"/>
                <w:color w:val="auto"/>
              </w:rPr>
            </w:pPr>
            <w:r>
              <w:rPr>
                <w:rFonts w:ascii="Arial" w:cs="Arial" w:eastAsia="Arial" w:hAnsi="Arial"/>
                <w:sz w:val="18"/>
                <w:szCs w:val="18"/>
                <w:color w:val="auto"/>
                <w:w w:val="99"/>
              </w:rPr>
              <w:t>60</w:t>
            </w:r>
          </w:p>
        </w:tc>
        <w:tc>
          <w:tcPr>
            <w:tcW w:w="5600" w:type="dxa"/>
            <w:vAlign w:val="bottom"/>
          </w:tcPr>
          <w:p>
            <w:pPr>
              <w:ind w:left="320"/>
              <w:spacing w:after="0"/>
              <w:rPr>
                <w:sz w:val="20"/>
                <w:szCs w:val="20"/>
                <w:color w:val="auto"/>
              </w:rPr>
            </w:pPr>
            <w:r>
              <w:rPr>
                <w:rFonts w:ascii="Arial" w:cs="Arial" w:eastAsia="Arial" w:hAnsi="Arial"/>
                <w:sz w:val="18"/>
                <w:szCs w:val="18"/>
                <w:color w:val="auto"/>
              </w:rPr>
              <w:t>Lead Independent Director</w:t>
            </w:r>
          </w:p>
        </w:tc>
      </w:tr>
      <w:tr>
        <w:trPr>
          <w:trHeight w:val="27"/>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7"/>
        </w:trPr>
        <w:tc>
          <w:tcPr>
            <w:tcW w:w="2180" w:type="dxa"/>
            <w:vAlign w:val="bottom"/>
            <w:tcBorders>
              <w:bottom w:val="single" w:sz="8" w:color="BFBFBF"/>
            </w:tcBorders>
            <w:shd w:val="clear" w:color="auto" w:fill="BFBFBF"/>
          </w:tcPr>
          <w:p>
            <w:pPr>
              <w:spacing w:after="0"/>
              <w:rPr>
                <w:sz w:val="20"/>
                <w:szCs w:val="20"/>
                <w:color w:val="auto"/>
              </w:rPr>
            </w:pPr>
            <w:r>
              <w:rPr>
                <w:rFonts w:ascii="Arial" w:cs="Arial" w:eastAsia="Arial" w:hAnsi="Arial"/>
                <w:sz w:val="18"/>
                <w:szCs w:val="18"/>
                <w:color w:val="auto"/>
              </w:rPr>
              <w:t>Avanish Sahai</w:t>
            </w:r>
          </w:p>
        </w:tc>
        <w:tc>
          <w:tcPr>
            <w:tcW w:w="1320" w:type="dxa"/>
            <w:vAlign w:val="bottom"/>
            <w:tcBorders>
              <w:bottom w:val="single" w:sz="8" w:color="BFBFBF"/>
            </w:tcBorders>
            <w:shd w:val="clear" w:color="auto" w:fill="BFBFBF"/>
          </w:tcPr>
          <w:p>
            <w:pPr>
              <w:jc w:val="center"/>
              <w:ind w:left="351"/>
              <w:spacing w:after="0"/>
              <w:rPr>
                <w:sz w:val="20"/>
                <w:szCs w:val="20"/>
                <w:color w:val="auto"/>
              </w:rPr>
            </w:pPr>
            <w:r>
              <w:rPr>
                <w:rFonts w:ascii="Arial" w:cs="Arial" w:eastAsia="Arial" w:hAnsi="Arial"/>
                <w:sz w:val="18"/>
                <w:szCs w:val="18"/>
                <w:color w:val="auto"/>
                <w:w w:val="99"/>
              </w:rPr>
              <w:t>54</w:t>
            </w:r>
          </w:p>
        </w:tc>
        <w:tc>
          <w:tcPr>
            <w:tcW w:w="5600" w:type="dxa"/>
            <w:vAlign w:val="bottom"/>
            <w:tcBorders>
              <w:bottom w:val="single" w:sz="8" w:color="BFBFBF"/>
            </w:tcBorders>
            <w:shd w:val="clear" w:color="auto" w:fill="BFBFBF"/>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Michael Simon</w:t>
            </w:r>
          </w:p>
        </w:tc>
        <w:tc>
          <w:tcPr>
            <w:tcW w:w="1320" w:type="dxa"/>
            <w:vAlign w:val="bottom"/>
          </w:tcPr>
          <w:p>
            <w:pPr>
              <w:jc w:val="center"/>
              <w:ind w:left="351"/>
              <w:spacing w:after="0"/>
              <w:rPr>
                <w:sz w:val="20"/>
                <w:szCs w:val="20"/>
                <w:color w:val="auto"/>
              </w:rPr>
            </w:pPr>
            <w:r>
              <w:rPr>
                <w:rFonts w:ascii="Arial" w:cs="Arial" w:eastAsia="Arial" w:hAnsi="Arial"/>
                <w:sz w:val="18"/>
                <w:szCs w:val="18"/>
                <w:color w:val="auto"/>
                <w:w w:val="99"/>
              </w:rPr>
              <w:t>55</w:t>
            </w:r>
          </w:p>
        </w:tc>
        <w:tc>
          <w:tcPr>
            <w:tcW w:w="560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7"/>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7"/>
        </w:trPr>
        <w:tc>
          <w:tcPr>
            <w:tcW w:w="2180" w:type="dxa"/>
            <w:vAlign w:val="bottom"/>
            <w:tcBorders>
              <w:bottom w:val="single" w:sz="8" w:color="BFBFBF"/>
            </w:tcBorders>
            <w:shd w:val="clear" w:color="auto" w:fill="BFBFBF"/>
          </w:tcPr>
          <w:p>
            <w:pPr>
              <w:spacing w:after="0"/>
              <w:rPr>
                <w:sz w:val="20"/>
                <w:szCs w:val="20"/>
                <w:color w:val="auto"/>
              </w:rPr>
            </w:pPr>
            <w:r>
              <w:rPr>
                <w:rFonts w:ascii="Arial" w:cs="Arial" w:eastAsia="Arial" w:hAnsi="Arial"/>
                <w:sz w:val="18"/>
                <w:szCs w:val="18"/>
                <w:color w:val="auto"/>
              </w:rPr>
              <w:t>Jay Simons</w:t>
            </w:r>
          </w:p>
        </w:tc>
        <w:tc>
          <w:tcPr>
            <w:tcW w:w="1320" w:type="dxa"/>
            <w:vAlign w:val="bottom"/>
            <w:tcBorders>
              <w:bottom w:val="single" w:sz="8" w:color="BFBFBF"/>
            </w:tcBorders>
            <w:shd w:val="clear" w:color="auto" w:fill="BFBFBF"/>
          </w:tcPr>
          <w:p>
            <w:pPr>
              <w:jc w:val="center"/>
              <w:ind w:left="351"/>
              <w:spacing w:after="0"/>
              <w:rPr>
                <w:sz w:val="20"/>
                <w:szCs w:val="20"/>
                <w:color w:val="auto"/>
              </w:rPr>
            </w:pPr>
            <w:r>
              <w:rPr>
                <w:rFonts w:ascii="Arial" w:cs="Arial" w:eastAsia="Arial" w:hAnsi="Arial"/>
                <w:sz w:val="18"/>
                <w:szCs w:val="18"/>
                <w:color w:val="auto"/>
                <w:w w:val="99"/>
              </w:rPr>
              <w:t>47</w:t>
            </w:r>
          </w:p>
        </w:tc>
        <w:tc>
          <w:tcPr>
            <w:tcW w:w="5600" w:type="dxa"/>
            <w:vAlign w:val="bottom"/>
            <w:tcBorders>
              <w:bottom w:val="single" w:sz="8" w:color="BFBFBF"/>
            </w:tcBorders>
            <w:shd w:val="clear" w:color="auto" w:fill="BFBFBF"/>
          </w:tcPr>
          <w:p>
            <w:pPr>
              <w:ind w:left="320"/>
              <w:spacing w:after="0"/>
              <w:rPr>
                <w:sz w:val="20"/>
                <w:szCs w:val="20"/>
                <w:color w:val="auto"/>
              </w:rPr>
            </w:pPr>
            <w:r>
              <w:rPr>
                <w:rFonts w:ascii="Arial" w:cs="Arial" w:eastAsia="Arial" w:hAnsi="Arial"/>
                <w:sz w:val="18"/>
                <w:szCs w:val="18"/>
                <w:color w:val="auto"/>
              </w:rPr>
              <w:t>Director</w:t>
            </w: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Jill Ward</w:t>
            </w:r>
          </w:p>
        </w:tc>
        <w:tc>
          <w:tcPr>
            <w:tcW w:w="1320" w:type="dxa"/>
            <w:vAlign w:val="bottom"/>
          </w:tcPr>
          <w:p>
            <w:pPr>
              <w:jc w:val="center"/>
              <w:ind w:left="351"/>
              <w:spacing w:after="0"/>
              <w:rPr>
                <w:sz w:val="20"/>
                <w:szCs w:val="20"/>
                <w:color w:val="auto"/>
              </w:rPr>
            </w:pPr>
            <w:r>
              <w:rPr>
                <w:rFonts w:ascii="Arial" w:cs="Arial" w:eastAsia="Arial" w:hAnsi="Arial"/>
                <w:sz w:val="18"/>
                <w:szCs w:val="18"/>
                <w:color w:val="auto"/>
                <w:w w:val="99"/>
              </w:rPr>
              <w:t>59</w:t>
            </w:r>
          </w:p>
        </w:tc>
        <w:tc>
          <w:tcPr>
            <w:tcW w:w="5600" w:type="dxa"/>
            <w:vAlign w:val="bottom"/>
          </w:tcPr>
          <w:p>
            <w:pPr>
              <w:ind w:left="3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Set forth below are the biographies of each executive officer and director, as well as information regarding each such person’s business experience, director positions held currently or at any time during the last five years, and, for directors, the experiences, qualifications, attributes or skills that caused the Nominating and Corporate Governance Committee to determine that the person should serve as a director of the company. We believe that each of our executive officers and directors has a reputation for integrity, honesty and adherence to high ethical standards.</w:t>
      </w:r>
    </w:p>
    <w:p>
      <w:pPr>
        <w:spacing w:after="0" w:line="175" w:lineRule="exact"/>
        <w:rPr>
          <w:sz w:val="20"/>
          <w:szCs w:val="20"/>
          <w:color w:val="auto"/>
        </w:rPr>
      </w:pPr>
    </w:p>
    <w:p>
      <w:pPr>
        <w:ind w:left="1600" w:right="180"/>
        <w:spacing w:after="0" w:line="236" w:lineRule="auto"/>
        <w:rPr>
          <w:sz w:val="20"/>
          <w:szCs w:val="20"/>
          <w:color w:val="auto"/>
        </w:rPr>
      </w:pPr>
      <w:r>
        <w:rPr>
          <w:rFonts w:ascii="Arial" w:cs="Arial" w:eastAsia="Arial" w:hAnsi="Arial"/>
          <w:sz w:val="18"/>
          <w:szCs w:val="18"/>
          <w:color w:val="auto"/>
        </w:rPr>
        <w:t>Brian Halligan, a founder of the company, has served as our Chief Executive Officer and a member of our Board since 2005, and has served as Chairman of our Board since 2014. Mr. Halligan is also an author and a senior lecturer at the Massachusetts Institute of Technology. Prior to founding HubSpot, Mr. Halligan served as venture partner at Longworth Ventures. From 2000 until 2004, he also worked as the vice president of sales of Groove Networks, which was later acquired by Microsoft. Mr. Halligan served on the board of directors of Fleetmatics Group, a global provider of fleet management solutions until its acquisition by Verizon Communications in November 2016. Mr. Halligan was selected to serve as a director on our Board due to his knowledge of HubSpot and our business and his service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-1032510</wp:posOffset>
            </wp:positionV>
            <wp:extent cx="694055" cy="694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15" w:lineRule="exact"/>
        <w:rPr>
          <w:sz w:val="20"/>
          <w:szCs w:val="20"/>
          <w:color w:val="auto"/>
        </w:rPr>
      </w:pPr>
    </w:p>
    <w:p>
      <w:pPr>
        <w:ind w:left="1600"/>
        <w:spacing w:after="0" w:line="248" w:lineRule="auto"/>
        <w:rPr>
          <w:sz w:val="20"/>
          <w:szCs w:val="20"/>
          <w:color w:val="auto"/>
        </w:rPr>
      </w:pPr>
      <w:r>
        <w:rPr>
          <w:rFonts w:ascii="Arial" w:cs="Arial" w:eastAsia="Arial" w:hAnsi="Arial"/>
          <w:sz w:val="17"/>
          <w:szCs w:val="17"/>
          <w:color w:val="auto"/>
        </w:rPr>
        <w:t>Dharmesh Shah a founder of the company, has served as our Chief Technology Officer and a member of our Board since 2005. Prior to founding HubSpot, he was founder and chief executive officer of Pyramid Digital Solutions, a software company, which was acquired by SunGard Data Systems in 2005. Mr. Shah is also an author and angel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694055" cy="694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ind w:left="1600" w:right="220"/>
        <w:spacing w:after="0" w:line="246" w:lineRule="auto"/>
        <w:rPr>
          <w:sz w:val="20"/>
          <w:szCs w:val="20"/>
          <w:color w:val="auto"/>
        </w:rPr>
      </w:pPr>
      <w:r>
        <w:rPr>
          <w:rFonts w:ascii="Arial" w:cs="Arial" w:eastAsia="Arial" w:hAnsi="Arial"/>
          <w:sz w:val="18"/>
          <w:szCs w:val="18"/>
          <w:color w:val="auto"/>
        </w:rPr>
        <w:t>Mr. Shah was selected to serve as a director on our Board due to his knowledge of the company and our business and his service as our Chief Technology Officer.</w:t>
      </w:r>
    </w:p>
    <w:p>
      <w:pPr>
        <w:spacing w:after="0" w:line="305" w:lineRule="exact"/>
        <w:rPr>
          <w:sz w:val="20"/>
          <w:szCs w:val="20"/>
          <w:color w:val="auto"/>
        </w:rPr>
      </w:pPr>
    </w:p>
    <w:p>
      <w:pPr>
        <w:ind w:left="1600"/>
        <w:spacing w:after="0" w:line="238" w:lineRule="auto"/>
        <w:rPr>
          <w:sz w:val="20"/>
          <w:szCs w:val="20"/>
          <w:color w:val="auto"/>
        </w:rPr>
      </w:pPr>
      <w:r>
        <w:rPr>
          <w:rFonts w:ascii="Arial" w:cs="Arial" w:eastAsia="Arial" w:hAnsi="Arial"/>
          <w:sz w:val="18"/>
          <w:szCs w:val="18"/>
          <w:color w:val="auto"/>
        </w:rPr>
        <w:t>JD Sherman has served as our Chief Operating Officer since March 2012 and as our President since March 2014. From 2005 to 2012, Mr. Sherman served as the chief financial officer of Akamai Technologies. From 1990 to 2005, he served in various positions at IBM including as vice president of financial planning and assistant controller of corporate financial strategy and budgets. He currently serves on the board of directors of Citrix Systems, Inc. and on the BUILD Boston Board of Advisors. He previously served on the board of directors of 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694055" cy="694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055" cy="694690"/>
                    </a:xfrm>
                    <a:prstGeom prst="rect">
                      <a:avLst/>
                    </a:prstGeom>
                    <a:noFill/>
                  </pic:spPr>
                </pic:pic>
              </a:graphicData>
            </a:graphic>
          </wp:anchor>
        </w:drawing>
      </w:r>
    </w:p>
    <w:p>
      <w:pPr>
        <w:spacing w:after="0" w:line="290" w:lineRule="exact"/>
        <w:rPr>
          <w:sz w:val="20"/>
          <w:szCs w:val="20"/>
          <w:color w:val="auto"/>
        </w:rPr>
      </w:pPr>
    </w:p>
    <w:p>
      <w:pPr>
        <w:ind w:left="1600" w:right="40"/>
        <w:spacing w:after="0" w:line="238" w:lineRule="auto"/>
        <w:rPr>
          <w:sz w:val="20"/>
          <w:szCs w:val="20"/>
          <w:color w:val="auto"/>
        </w:rPr>
      </w:pPr>
      <w:r>
        <w:rPr>
          <w:rFonts w:ascii="Arial" w:cs="Arial" w:eastAsia="Arial" w:hAnsi="Arial"/>
          <w:sz w:val="18"/>
          <w:szCs w:val="18"/>
          <w:color w:val="auto"/>
        </w:rPr>
        <w:t>Kate Bueker has served as our Chief Financial Officer since June 2018. Prior to joining HubSpot, Ms. Bueker held numerous financial leadership roles from 2007 to 2018 at Akamai Technologies, Inc. Ms. Bueker most recently served as senior vice president of business finance and operations at Akamai. Prior to joining Akamai, Ms. Bueker spent almost 10 years in investment banking at The Blackstone Group, UBS, Credit Suisse and Donaldson, Lufkin &amp; Jenrette.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694055" cy="694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 w:name="page10"/>
    <w:bookmarkEnd w:id="9"/>
    <w:p>
      <w:pPr>
        <w:ind w:left="480" w:right="180"/>
        <w:spacing w:after="0" w:line="238" w:lineRule="auto"/>
        <w:rPr>
          <w:sz w:val="20"/>
          <w:szCs w:val="20"/>
          <w:color w:val="auto"/>
        </w:rPr>
      </w:pPr>
      <w:r>
        <w:rPr>
          <w:rFonts w:ascii="Arial" w:cs="Arial" w:eastAsia="Arial" w:hAnsi="Arial"/>
          <w:sz w:val="18"/>
          <w:szCs w:val="18"/>
          <w:color w:val="auto"/>
        </w:rPr>
        <w:t>John Kelleher has served as our General Counsel since June 2012. Previously, from 2003 to 2011, Mr. Kelleher served as the senior vice president and general counsel of Endeca Technologies until its acquisition by Oracle in December 2011. Before joining Endeca, Mr. Kelleher was a co-founder and vice president of strategic development for Zinio Systems. He began his legal career as an attorney at Mintz Levin. Prior to his legal career, Mr. Kelleher was a Lieutenant in the U.S. Navy.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-650240</wp:posOffset>
            </wp:positionV>
            <wp:extent cx="694055" cy="694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90" w:lineRule="exact"/>
        <w:rPr>
          <w:sz w:val="20"/>
          <w:szCs w:val="20"/>
          <w:color w:val="auto"/>
        </w:rPr>
      </w:pPr>
    </w:p>
    <w:p>
      <w:pPr>
        <w:ind w:left="480" w:right="80"/>
        <w:spacing w:after="0" w:line="238" w:lineRule="auto"/>
        <w:rPr>
          <w:sz w:val="20"/>
          <w:szCs w:val="20"/>
          <w:color w:val="auto"/>
        </w:rPr>
      </w:pPr>
      <w:r>
        <w:rPr>
          <w:rFonts w:ascii="Arial" w:cs="Arial" w:eastAsia="Arial" w:hAnsi="Arial"/>
          <w:sz w:val="18"/>
          <w:szCs w:val="18"/>
          <w:color w:val="auto"/>
        </w:rPr>
        <w:t>Yamini Rangan has served as our Chief Customer Officer since January 2020. Ms. Rangan joined HubSpot from Dropbox, where she served as chief customer officer from August 2018 to January 2020 and as vice president, business strategy and operations, from January 2016 to August 2018. Before Dropbox, she was vice president of sales strategy and operations at Workday from 2013 to 2015. Ms. Rangan also held several customer-facing leadership roles in strategy, pre-sales and value-based selling at SAP.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-650240</wp:posOffset>
            </wp:positionV>
            <wp:extent cx="711200"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702945"/>
                    </a:xfrm>
                    <a:prstGeom prst="rect">
                      <a:avLst/>
                    </a:prstGeom>
                    <a:noFill/>
                  </pic:spPr>
                </pic:pic>
              </a:graphicData>
            </a:graphic>
          </wp:anchor>
        </w:drawing>
      </w:r>
    </w:p>
    <w:p>
      <w:pPr>
        <w:spacing w:after="0" w:line="304" w:lineRule="exact"/>
        <w:rPr>
          <w:sz w:val="20"/>
          <w:szCs w:val="20"/>
          <w:color w:val="auto"/>
        </w:rPr>
      </w:pPr>
    </w:p>
    <w:p>
      <w:pPr>
        <w:ind w:left="480" w:right="20"/>
        <w:spacing w:after="0" w:line="237" w:lineRule="auto"/>
        <w:rPr>
          <w:sz w:val="20"/>
          <w:szCs w:val="20"/>
          <w:color w:val="auto"/>
        </w:rPr>
      </w:pPr>
      <w:r>
        <w:rPr>
          <w:rFonts w:ascii="Arial" w:cs="Arial" w:eastAsia="Arial" w:hAnsi="Arial"/>
          <w:sz w:val="18"/>
          <w:szCs w:val="18"/>
          <w:color w:val="auto"/>
        </w:rPr>
        <w:t>Ron Gill has served as a member of our Board since June 2012. Mr. Gill has served as an operating partner of Lead Edge Capital, a growth equity investment firm, since 2018. From 2007 to 2017, Mr. Gill held multiple positions at NetSuite, Inc., including chief financial officer from 2010 until 2017, including through NetSuite’s acquisition by Oracle in 2016. Prior to joining NetSuite, Ron was vice president, finance at Hyperion Solutions. Previously, he held a variety of financial positions with several technology companies, including SAP, Dell and Sony. Mr. Gill was selected to serve as a director on our Board due to his broad industry experience and extensive financial leadership experience. Mr. Gill qualifies as an “audit committee financial expert” under the Securities and Exchange Commission (the “SEC”)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-907415</wp:posOffset>
            </wp:positionV>
            <wp:extent cx="694055" cy="694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10" w:lineRule="exact"/>
        <w:rPr>
          <w:sz w:val="20"/>
          <w:szCs w:val="20"/>
          <w:color w:val="auto"/>
        </w:rPr>
      </w:pPr>
    </w:p>
    <w:p>
      <w:pPr>
        <w:ind w:left="480"/>
        <w:spacing w:after="0" w:line="236" w:lineRule="auto"/>
        <w:rPr>
          <w:sz w:val="20"/>
          <w:szCs w:val="20"/>
          <w:color w:val="auto"/>
        </w:rPr>
      </w:pPr>
      <w:r>
        <w:rPr>
          <w:rFonts w:ascii="Arial" w:cs="Arial" w:eastAsia="Arial" w:hAnsi="Arial"/>
          <w:sz w:val="18"/>
          <w:szCs w:val="18"/>
          <w:color w:val="auto"/>
        </w:rPr>
        <w:t>Julie Herendeen has served as a member of our Board since April 2016. Ms. Herendeen currently serves as chief marketing officer of PagerDuty, a role she has held since June 2019, after serving as the interim chief marketing officer since March 2019 and advisory board member since June 2017. Ms. Herendeen served as head of global enterprise marketing at Uber from March 2017 to April 2018. From September 2014 until April 2016, Ms. Herendeen served as vice president of marketing of Dropbox. Prior to joining Dropbox, Ms. Herendeen was the chief marketing officer of Lookout, a mobile security company, from February 2010 to August 2014. Before joining Lookout, Ms. Herendeen spent five years at Yahoo and prior to that she held various positions at Shutterfly, Netscape and Apple. Ms. Herendeen was selected to serve as a director on our Board due to her extensive marketing and product expertise as well as her experience scaling technology businesses as the voice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-1162050</wp:posOffset>
            </wp:positionV>
            <wp:extent cx="711200" cy="711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711200"/>
                    </a:xfrm>
                    <a:prstGeom prst="rect">
                      <a:avLst/>
                    </a:prstGeom>
                    <a:noFill/>
                  </pic:spPr>
                </pic:pic>
              </a:graphicData>
            </a:graphic>
          </wp:anchor>
        </w:drawing>
      </w:r>
    </w:p>
    <w:p>
      <w:pPr>
        <w:spacing w:after="0" w:line="214" w:lineRule="exact"/>
        <w:rPr>
          <w:sz w:val="20"/>
          <w:szCs w:val="20"/>
          <w:color w:val="auto"/>
        </w:rPr>
      </w:pPr>
    </w:p>
    <w:p>
      <w:pPr>
        <w:ind w:left="480" w:right="60"/>
        <w:spacing w:after="0" w:line="236" w:lineRule="auto"/>
        <w:rPr>
          <w:sz w:val="20"/>
          <w:szCs w:val="20"/>
          <w:color w:val="auto"/>
        </w:rPr>
      </w:pPr>
      <w:r>
        <w:rPr>
          <w:rFonts w:ascii="Arial" w:cs="Arial" w:eastAsia="Arial" w:hAnsi="Arial"/>
          <w:sz w:val="18"/>
          <w:szCs w:val="18"/>
          <w:color w:val="auto"/>
        </w:rPr>
        <w:t>Lorrie Norrington has served as a member of our Board since September 2013. Ms. Norrington has served as an operating partner of Lead Edge Capital, a growth equity investment firm, since 2013. Ms. Norrington currently serves on the boards of directors of three other public companies, Autodesk, Colgate-Palmolive, and Eventbrite, and also previously served on the boards of directors of Shopping.com, McAfee, Lucasfilm, and DIRECTV. Ms. Norrington served in several senior management roles at eBay, Shopping.com, Intuit, and General Electric Company. Ms. Norrington was selected to serve as a director on our Board due to her broad industry experience, including over 35 years of operating experience in technology, software and internet businesses, and her experience as a current and former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-1032510</wp:posOffset>
            </wp:positionV>
            <wp:extent cx="694055" cy="694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15" w:lineRule="exact"/>
        <w:rPr>
          <w:sz w:val="20"/>
          <w:szCs w:val="20"/>
          <w:color w:val="auto"/>
        </w:rPr>
      </w:pPr>
    </w:p>
    <w:p>
      <w:pPr>
        <w:ind w:left="480" w:right="20"/>
        <w:spacing w:after="0" w:line="236" w:lineRule="auto"/>
        <w:rPr>
          <w:sz w:val="20"/>
          <w:szCs w:val="20"/>
          <w:color w:val="auto"/>
        </w:rPr>
      </w:pPr>
      <w:r>
        <w:rPr>
          <w:rFonts w:ascii="Arial" w:cs="Arial" w:eastAsia="Arial" w:hAnsi="Arial"/>
          <w:sz w:val="18"/>
          <w:szCs w:val="18"/>
          <w:color w:val="auto"/>
        </w:rPr>
        <w:t>Avanish Sahai has served as a member of our Board since April 2018. Mr. Sahai has served as the vice president, ISV and apps partner ecosystem of Google, since December 2019. Previously, Mr. Sahai served as the global vice president, ISV and technology alliances at ServiceNow from December 2016 to December 2019. From May 2015 to December 2016, Mr. Sahai was the senior vice president of channels and alliances at InsideSales.com. From April 2014 to May 2015, he was the senior vice president and chief product officer at Demandbase. Prior to Demandbase, Mr. Sahai held leadership positions at Salesforce.com, Oracle, and McKinsey &amp; Company, as well as various early-to-mid stage startups in Silicon Valley. Mr. Sahai was selected to serve as a director on our Board due to his extensive industry experience, his global expertise, and his knowledge of building software platforms and ecosystems.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-1032510</wp:posOffset>
            </wp:positionV>
            <wp:extent cx="694055" cy="754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05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98" w:right="339" w:bottom="1440" w:gutter="0" w:footer="0" w:header="0"/>
        </w:sectPr>
      </w:pPr>
    </w:p>
    <w:bookmarkStart w:id="10" w:name="page11"/>
    <w:bookmarkEnd w:id="10"/>
    <w:p>
      <w:pPr>
        <w:ind w:left="480" w:right="40"/>
        <w:spacing w:after="0" w:line="237" w:lineRule="auto"/>
        <w:rPr>
          <w:sz w:val="20"/>
          <w:szCs w:val="20"/>
          <w:color w:val="auto"/>
        </w:rPr>
      </w:pPr>
      <w:r>
        <w:rPr>
          <w:rFonts w:ascii="Arial" w:cs="Arial" w:eastAsia="Arial" w:hAnsi="Arial"/>
          <w:sz w:val="18"/>
          <w:szCs w:val="18"/>
          <w:color w:val="auto"/>
        </w:rPr>
        <w:t>Michael Simon has served as a member of our Board since June 2011. Mr. Simon is the founder and chief executive officer of NDVR, Inc., a private company that develops portfolio optimization algorithms and technology. Mr. Simon co-founded LogMeIn in 2003, where he served as chairman and chief executive officer from 2003 until 2015, as chairman of the board from 2003 until March 2019, and as a board member from March 2019 until May 2019. He also previously served on the board of SessionM, a private company that makes enterprise customer loyalty software, from September 2016 to 2019. Mr. Simon also serves on the Graduate Studies Advisory Council at the University of Notre Dame. Mr. Simon was selected to serve as a director on our Board due to his broad industry and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-907415</wp:posOffset>
            </wp:positionV>
            <wp:extent cx="694055" cy="694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055" cy="694690"/>
                    </a:xfrm>
                    <a:prstGeom prst="rect">
                      <a:avLst/>
                    </a:prstGeom>
                    <a:noFill/>
                  </pic:spPr>
                </pic:pic>
              </a:graphicData>
            </a:graphic>
          </wp:anchor>
        </w:drawing>
      </w:r>
    </w:p>
    <w:p>
      <w:pPr>
        <w:spacing w:after="0" w:line="210" w:lineRule="exact"/>
        <w:rPr>
          <w:sz w:val="20"/>
          <w:szCs w:val="20"/>
          <w:color w:val="auto"/>
        </w:rPr>
      </w:pPr>
    </w:p>
    <w:p>
      <w:pPr>
        <w:ind w:left="480" w:right="60"/>
        <w:spacing w:after="0" w:line="236" w:lineRule="auto"/>
        <w:rPr>
          <w:sz w:val="20"/>
          <w:szCs w:val="20"/>
          <w:color w:val="auto"/>
        </w:rPr>
      </w:pPr>
      <w:r>
        <w:rPr>
          <w:rFonts w:ascii="Arial" w:cs="Arial" w:eastAsia="Arial" w:hAnsi="Arial"/>
          <w:sz w:val="18"/>
          <w:szCs w:val="18"/>
          <w:color w:val="auto"/>
        </w:rPr>
        <w:t>Jay Simons has served as a member of our Board since January 2017. Since 2011, Mr. Simons has served as president of Atlassian Corporation Plc. From 2008 to 2011, Mr. Simons was vice president of sales and marketing at Atlassian. From October 2005 to May 2008, Mr. Simons served in various roles, including vice president, marketing, at BEA Systems, Inc. an enterprise software company, which was acquired by Oracle Corporation in 2008. From 1998 to 2005, Mr. Simons served in various roles, including vice president, product marketing &amp; strategy, at Plumtree Software, Inc., a web software company, which was acquired by BEA Systems, Inc. in 2005. Mr. Simons was selected to serve as a director on our Board due to his experience implementing a high-velocity, low-touch sales model, his experience moving to a multi-product platform and his experience with global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-1032510</wp:posOffset>
            </wp:positionV>
            <wp:extent cx="694055" cy="694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15" w:lineRule="exact"/>
        <w:rPr>
          <w:sz w:val="20"/>
          <w:szCs w:val="20"/>
          <w:color w:val="auto"/>
        </w:rPr>
      </w:pPr>
    </w:p>
    <w:p>
      <w:pPr>
        <w:ind w:left="480" w:right="160"/>
        <w:spacing w:after="0" w:line="236" w:lineRule="auto"/>
        <w:rPr>
          <w:sz w:val="20"/>
          <w:szCs w:val="20"/>
          <w:color w:val="auto"/>
        </w:rPr>
      </w:pPr>
      <w:r>
        <w:rPr>
          <w:rFonts w:ascii="Arial" w:cs="Arial" w:eastAsia="Arial" w:hAnsi="Arial"/>
          <w:sz w:val="18"/>
          <w:szCs w:val="18"/>
          <w:color w:val="auto"/>
        </w:rPr>
        <w:t>Jill Ward has served as a member of our Board since October 2017. Between 2018 and 2020, Ms. Ward served as an operating partner of Lead Edge Capital, a growth equity investment firm. Ms. Ward has served on the board of directors at Dynatrace since September 2019. From 2018 to 2019, she served as a director of Carbon Black. Ms. Ward previously served as president and chief operating officer of Fleetmatics from 2015 until its acquisition by Verizon Communications in 2016. Prior to Fleetmatics, from 2001 to 2014, Ms. Ward served as vice president and then senior vice president and general manager at Intuit. Prior to joining Intuit in 2001, Ms. Ward served in roles at Fidelity Investments and Bain &amp; Company. Ms. Ward was selected to serve as a director on our Board due to her experience in leading and scaling technology companies that serve small and medium sized businesses, as well as her skills at building strong customer experiences and deep channel partner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-1162050</wp:posOffset>
            </wp:positionV>
            <wp:extent cx="685800" cy="694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E36F1E"/>
        </w:rPr>
        <w:t>CORPORATE GOVERNANCE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believes, and our Corporate Governance Guidelines dictate, that the Board should consist of a substantial majority of independent directors. The Board has determined that, except for Messrs. Halligan and Shah as executive officers of the Company, each of our current directors has no material relationship with HubSpot that would interfere with the exercise of independent judgment in carrying out the responsibilities of a director. In making that determination, the Board considered all relevant facts and circumstances, including (but not limited to) the director’s commercial, industrial, banking, consulting, legal, accounting, charitable, and familial relationships. In addition, the Board has determined that a majority of our directors are “independent” within the meaning of the director independence standards of the New York Stock Exchange (the “NYSE”), other than Messrs. Halligan and Shah, who currently serve as executive officers of the Company.</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Further, the Board has determined that each member of each of the committees of the Board is independent within the meaning of the NYSE’s, the SEC’s, and our applicable committees’ independence standards, including Rule 10a-3(b)(1) under the Securities Exchange Act of 1934, as amended (the “Exchange Act”). There are no family relationships among any of our directors or executive officers.</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At least annually, the Board will evaluate all relationships between us and each director in light of relevant facts and circumstances for the purposes of determining whether a material relationship exists that might signal a potential conflict of interest or otherwise interfere with such director’s ability to satisfy his or her responsibilities as an independent director. Based on this evaluation, the Board will make an annual determination of whether each director is independent within the meaning of the NYSE’s, the SEC’s, and our applicable committees’ independence standards.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Currently, our Chief Executive Officer, Mr. Brian Halligan, also serves as Chairman of the Board. The Board believes that its current leadership structure, coupled with an emphasis on Board independence provides effective independent oversight of management while allowing both the Board and management to benefit from Mr. Halligan’s leadership and years of experience in HubSpot’s business. Mr. Halligan possesses details and first-hand knowledge of the issues, opportunities, and challenges facing HubSpot and its business. We believe this extensive Company-specific experience and expertise of Mr. Halligan, together with the outside experience, oversight and expertise of our independent directors, allows for differing perspectives and roles regarding strategy development that benefit our stockholders. This structure enables Mr. Halligan to act as the key link between the Board and other members of management. Further, the Board believes that Mr. Halligan’s combined role enables decisive leadership, ensures clear accountability, and enhances HubSpot’s ability to communicate its message and strategy clearly and consistently to its stockholders, employees, customers, and partners.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Board also has a Lead Independent Director who provides an effective independent voice in our leadership structure. As Lead Independent Director, Ms. Lorrie Norrington presides over meetings of our independent directors, serves as a liaison between our Chairman of the Board and the independent directors and performs such additional duties as our Board may otherwise determine and delegate.</w:t>
      </w:r>
    </w:p>
    <w:p>
      <w:pPr>
        <w:spacing w:after="0" w:line="20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Given our strong business, operational and financial performance, the Board believes that stockholders are best served by continuing this leadership structure. The Board continues to review the leadership of the Board on a regular basis.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 Board meets on a regularly scheduled basis during the year to review significant developments affecting us and to act on matters requiring their approval. It also holds special meetings when important matters require action between scheduled meetings. Members of senior management regularly attend meetings to report on and discuss their areas of responsibility. During 2019, the Board held six meetings. The Board has three standing committees:</w:t>
      </w:r>
    </w:p>
    <w:p>
      <w:pPr>
        <w:spacing w:after="0" w:line="97"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E36F1E"/>
        </w:rPr>
      </w:pPr>
      <w:r>
        <w:rPr>
          <w:rFonts w:ascii="Arial" w:cs="Arial" w:eastAsia="Arial" w:hAnsi="Arial"/>
          <w:sz w:val="18"/>
          <w:szCs w:val="18"/>
          <w:color w:val="auto"/>
        </w:rPr>
        <w:t>the Audit Committee, which held nine meetings in 2019;</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5"/>
        </w:numPr>
        <w:rPr>
          <w:rFonts w:ascii="Arial" w:cs="Arial" w:eastAsia="Arial" w:hAnsi="Arial"/>
          <w:sz w:val="18"/>
          <w:szCs w:val="18"/>
          <w:color w:val="E36F1E"/>
        </w:rPr>
      </w:pPr>
      <w:r>
        <w:rPr>
          <w:rFonts w:ascii="Arial" w:cs="Arial" w:eastAsia="Arial" w:hAnsi="Arial"/>
          <w:sz w:val="18"/>
          <w:szCs w:val="18"/>
          <w:color w:val="auto"/>
        </w:rPr>
        <w:t>the Compensation Committee, which held seven meetings in 2019; and</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5"/>
        </w:numPr>
        <w:rPr>
          <w:rFonts w:ascii="Arial" w:cs="Arial" w:eastAsia="Arial" w:hAnsi="Arial"/>
          <w:sz w:val="18"/>
          <w:szCs w:val="18"/>
          <w:color w:val="E36F1E"/>
        </w:rPr>
      </w:pPr>
      <w:r>
        <w:rPr>
          <w:rFonts w:ascii="Arial" w:cs="Arial" w:eastAsia="Arial" w:hAnsi="Arial"/>
          <w:sz w:val="18"/>
          <w:szCs w:val="18"/>
          <w:color w:val="auto"/>
        </w:rPr>
        <w:t>the Nominating and Corporate Governance Committee, which held four meetings in 2019.</w:t>
      </w:r>
    </w:p>
    <w:p>
      <w:pPr>
        <w:spacing w:after="0" w:line="203" w:lineRule="exact"/>
        <w:rPr>
          <w:sz w:val="20"/>
          <w:szCs w:val="20"/>
          <w:color w:val="auto"/>
        </w:rPr>
      </w:pPr>
    </w:p>
    <w:p>
      <w:pPr>
        <w:ind w:left="7560"/>
        <w:spacing w:after="0"/>
        <w:tabs>
          <w:tab w:leader="none" w:pos="1112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 w:name="page13"/>
    <w:bookmarkEnd w:id="12"/>
    <w:p>
      <w:pPr>
        <w:ind w:right="140"/>
        <w:spacing w:after="0" w:line="238" w:lineRule="auto"/>
        <w:rPr>
          <w:sz w:val="20"/>
          <w:szCs w:val="20"/>
          <w:color w:val="auto"/>
        </w:rPr>
      </w:pPr>
      <w:r>
        <w:rPr>
          <w:rFonts w:ascii="Arial" w:cs="Arial" w:eastAsia="Arial" w:hAnsi="Arial"/>
          <w:sz w:val="18"/>
          <w:szCs w:val="18"/>
          <w:color w:val="auto"/>
        </w:rPr>
        <w:t>Each of the incumbent directors of the Board attended at least 93% of all meetings of the Board and meetings of committees of our Board upon which they served (during the periods that they served) during 2019. The Board regularly holds executive sessions of the non-management directors as well as the independent directors. Executive sessions of non -management directors do not include employee directors and executive sessions of independent directors do not include directors who do not qualify as independent under NYSE and SEC rules.</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It is our policy that members of our Board are encouraged to attend annual meetings of our stockholders. All members of our Board attended the 2019 annual meeting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Policies and Committee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Company and the Board regularly review and evaluate the Company’s corporate governance practices. The Board has adopted Corporate Governance Guidelines to assist and guide its members in the exercise of its responsibilities. These guidelines should be interpreted in accordance with any requirements imposed by applicable federal or state law or regulation, the NYSE and our certificate of incorporation and bylaws.</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we have adopted a Code of Business Conduct and Ethics (a/k/a our Code of Use Good Judgment) that applies to all of our employees, officers and directors, including those officers responsible for financial reporting. We intend to disclose any amendment or waiver of a provision of the Code of Use Good Judgment that applies to our principal executive officer, principal financial officer, principal accounting officer or controller, or persons performing similar functions, by posting such information on our website (available at http://www.hubspot.com) and/or in our public filings with the SEC.</w:t>
      </w:r>
    </w:p>
    <w:p>
      <w:pPr>
        <w:spacing w:after="0" w:line="20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Board has also adopted a written charter for the Audit Committee, the Compensation Committee, and the Nominating and Corporate Governance Committee, each of which satisfy the applicable rules of the SEC and the listing standards of the NYSE.</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Corporate Governance Guidelines, Code of Use Good Judgment, and committee charters are available on the Investor Relations – Leadership and Governance section of our website at https://ir.hubspot.com/leadership. You may also request a copy of these documents by contacting Investor Relations at our principal executive offices.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Our bylaws provide that the Board may delegate responsibility to committees. The Board has three standing committees: an Audit Committee, a Compensation Committee, and a Nominating and Corporate Governance Committee.</w:t>
      </w:r>
    </w:p>
    <w:p>
      <w:pPr>
        <w:spacing w:after="0" w:line="22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table below shows the composition of the standing committees of the Board. Messrs. Halligan and Shah do not currently serve on any standing committee. The Board appointed Ms. Ward as a member of the Compensation and Nominating and Corporate Governance Committees on December 3, 2019, following its determination of her independence.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400" w:type="dxa"/>
            <w:vAlign w:val="bottom"/>
            <w:shd w:val="clear" w:color="auto" w:fill="E36F1E"/>
          </w:tcPr>
          <w:p>
            <w:pPr>
              <w:spacing w:after="0"/>
              <w:rPr>
                <w:sz w:val="14"/>
                <w:szCs w:val="14"/>
                <w:color w:val="auto"/>
              </w:rPr>
            </w:pPr>
          </w:p>
        </w:tc>
        <w:tc>
          <w:tcPr>
            <w:tcW w:w="1880" w:type="dxa"/>
            <w:vAlign w:val="bottom"/>
            <w:vMerge w:val="restart"/>
            <w:shd w:val="clear" w:color="auto" w:fill="E36F1E"/>
          </w:tcPr>
          <w:p>
            <w:pPr>
              <w:jc w:val="center"/>
              <w:spacing w:after="0"/>
              <w:rPr>
                <w:sz w:val="20"/>
                <w:szCs w:val="20"/>
                <w:color w:val="auto"/>
              </w:rPr>
            </w:pPr>
            <w:r>
              <w:rPr>
                <w:rFonts w:ascii="Arial" w:cs="Arial" w:eastAsia="Arial" w:hAnsi="Arial"/>
                <w:sz w:val="14"/>
                <w:szCs w:val="14"/>
                <w:b w:val="1"/>
                <w:bCs w:val="1"/>
                <w:color w:val="FFFFFF"/>
              </w:rPr>
              <w:t>Independent</w:t>
            </w:r>
          </w:p>
        </w:tc>
        <w:tc>
          <w:tcPr>
            <w:tcW w:w="17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Audit</w:t>
            </w:r>
          </w:p>
        </w:tc>
        <w:tc>
          <w:tcPr>
            <w:tcW w:w="184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Compensation</w:t>
            </w:r>
          </w:p>
        </w:tc>
        <w:tc>
          <w:tcPr>
            <w:tcW w:w="2220" w:type="dxa"/>
            <w:vAlign w:val="bottom"/>
            <w:shd w:val="clear" w:color="auto" w:fill="E36F1E"/>
          </w:tcPr>
          <w:p>
            <w:pPr>
              <w:jc w:val="center"/>
              <w:ind w:left="68"/>
              <w:spacing w:after="0"/>
              <w:rPr>
                <w:sz w:val="20"/>
                <w:szCs w:val="20"/>
                <w:color w:val="auto"/>
              </w:rPr>
            </w:pPr>
            <w:r>
              <w:rPr>
                <w:rFonts w:ascii="Arial" w:cs="Arial" w:eastAsia="Arial" w:hAnsi="Arial"/>
                <w:sz w:val="14"/>
                <w:szCs w:val="14"/>
                <w:b w:val="1"/>
                <w:bCs w:val="1"/>
                <w:color w:val="FFFFFF"/>
              </w:rPr>
              <w:t>Nominating &amp; Corporate</w:t>
            </w:r>
          </w:p>
        </w:tc>
        <w:tc>
          <w:tcPr>
            <w:tcW w:w="0" w:type="dxa"/>
            <w:vAlign w:val="bottom"/>
          </w:tcPr>
          <w:p>
            <w:pPr>
              <w:spacing w:after="0"/>
              <w:rPr>
                <w:sz w:val="1"/>
                <w:szCs w:val="1"/>
                <w:color w:val="auto"/>
              </w:rPr>
            </w:pPr>
          </w:p>
        </w:tc>
      </w:tr>
      <w:tr>
        <w:trPr>
          <w:trHeight w:val="189"/>
        </w:trPr>
        <w:tc>
          <w:tcPr>
            <w:tcW w:w="240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880" w:type="dxa"/>
            <w:vAlign w:val="bottom"/>
            <w:vMerge w:val="continue"/>
            <w:shd w:val="clear" w:color="auto" w:fill="E36F1E"/>
          </w:tcPr>
          <w:p>
            <w:pPr>
              <w:spacing w:after="0"/>
              <w:rPr>
                <w:sz w:val="16"/>
                <w:szCs w:val="16"/>
                <w:color w:val="auto"/>
              </w:rPr>
            </w:pPr>
          </w:p>
        </w:tc>
        <w:tc>
          <w:tcPr>
            <w:tcW w:w="17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Committee</w:t>
            </w:r>
          </w:p>
        </w:tc>
        <w:tc>
          <w:tcPr>
            <w:tcW w:w="1840" w:type="dxa"/>
            <w:vAlign w:val="bottom"/>
            <w:shd w:val="clear" w:color="auto" w:fill="E36F1E"/>
          </w:tcPr>
          <w:p>
            <w:pPr>
              <w:jc w:val="center"/>
              <w:ind w:left="108"/>
              <w:spacing w:after="0"/>
              <w:rPr>
                <w:sz w:val="20"/>
                <w:szCs w:val="20"/>
                <w:color w:val="auto"/>
              </w:rPr>
            </w:pPr>
            <w:r>
              <w:rPr>
                <w:rFonts w:ascii="Arial" w:cs="Arial" w:eastAsia="Arial" w:hAnsi="Arial"/>
                <w:sz w:val="14"/>
                <w:szCs w:val="14"/>
                <w:b w:val="1"/>
                <w:bCs w:val="1"/>
                <w:color w:val="FFFFFF"/>
              </w:rPr>
              <w:t>Committee</w:t>
            </w:r>
          </w:p>
        </w:tc>
        <w:tc>
          <w:tcPr>
            <w:tcW w:w="2220" w:type="dxa"/>
            <w:vAlign w:val="bottom"/>
            <w:shd w:val="clear" w:color="auto" w:fill="E36F1E"/>
          </w:tcPr>
          <w:p>
            <w:pPr>
              <w:jc w:val="center"/>
              <w:ind w:left="68"/>
              <w:spacing w:after="0"/>
              <w:rPr>
                <w:sz w:val="20"/>
                <w:szCs w:val="20"/>
                <w:color w:val="auto"/>
              </w:rPr>
            </w:pPr>
            <w:r>
              <w:rPr>
                <w:rFonts w:ascii="Arial" w:cs="Arial" w:eastAsia="Arial" w:hAnsi="Arial"/>
                <w:sz w:val="14"/>
                <w:szCs w:val="14"/>
                <w:b w:val="1"/>
                <w:bCs w:val="1"/>
                <w:color w:val="FFFFFF"/>
              </w:rPr>
              <w:t>Governance Committee</w:t>
            </w:r>
          </w:p>
        </w:tc>
        <w:tc>
          <w:tcPr>
            <w:tcW w:w="0" w:type="dxa"/>
            <w:vAlign w:val="bottom"/>
          </w:tcPr>
          <w:p>
            <w:pPr>
              <w:spacing w:after="0"/>
              <w:rPr>
                <w:sz w:val="1"/>
                <w:szCs w:val="1"/>
                <w:color w:val="auto"/>
              </w:rPr>
            </w:pPr>
          </w:p>
        </w:tc>
      </w:tr>
      <w:tr>
        <w:trPr>
          <w:trHeight w:val="175"/>
        </w:trPr>
        <w:tc>
          <w:tcPr>
            <w:tcW w:w="2400" w:type="dxa"/>
            <w:vAlign w:val="bottom"/>
            <w:shd w:val="clear" w:color="auto" w:fill="D9D9D9"/>
          </w:tcPr>
          <w:p>
            <w:pPr>
              <w:spacing w:after="0"/>
              <w:rPr>
                <w:sz w:val="20"/>
                <w:szCs w:val="20"/>
                <w:color w:val="auto"/>
              </w:rPr>
            </w:pPr>
            <w:r>
              <w:rPr>
                <w:rFonts w:ascii="Arial" w:cs="Arial" w:eastAsia="Arial" w:hAnsi="Arial"/>
                <w:sz w:val="14"/>
                <w:szCs w:val="14"/>
                <w:color w:val="auto"/>
              </w:rPr>
              <w:t>Ron Gill</w:t>
            </w:r>
          </w:p>
        </w:tc>
        <w:tc>
          <w:tcPr>
            <w:tcW w:w="18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7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Chair</w:t>
            </w:r>
          </w:p>
        </w:tc>
        <w:tc>
          <w:tcPr>
            <w:tcW w:w="1840" w:type="dxa"/>
            <w:vAlign w:val="bottom"/>
            <w:shd w:val="clear" w:color="auto" w:fill="D9D9D9"/>
          </w:tcPr>
          <w:p>
            <w:pPr>
              <w:spacing w:after="0"/>
              <w:rPr>
                <w:sz w:val="15"/>
                <w:szCs w:val="15"/>
                <w:color w:val="auto"/>
              </w:rPr>
            </w:pPr>
          </w:p>
        </w:tc>
        <w:tc>
          <w:tcPr>
            <w:tcW w:w="22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Arial" w:cs="Arial" w:eastAsia="Arial" w:hAnsi="Arial"/>
                <w:sz w:val="14"/>
                <w:szCs w:val="14"/>
                <w:color w:val="auto"/>
              </w:rPr>
              <w:t>Brian Halligan</w:t>
            </w:r>
          </w:p>
        </w:tc>
        <w:tc>
          <w:tcPr>
            <w:tcW w:w="1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D9D9D9"/>
          </w:tcPr>
          <w:p>
            <w:pPr>
              <w:spacing w:after="0"/>
              <w:rPr>
                <w:sz w:val="20"/>
                <w:szCs w:val="20"/>
                <w:color w:val="auto"/>
              </w:rPr>
            </w:pPr>
            <w:r>
              <w:rPr>
                <w:rFonts w:ascii="Arial" w:cs="Arial" w:eastAsia="Arial" w:hAnsi="Arial"/>
                <w:sz w:val="14"/>
                <w:szCs w:val="14"/>
                <w:color w:val="auto"/>
              </w:rPr>
              <w:t>Julie Herendeen</w:t>
            </w:r>
          </w:p>
        </w:tc>
        <w:tc>
          <w:tcPr>
            <w:tcW w:w="18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7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840" w:type="dxa"/>
            <w:vAlign w:val="bottom"/>
            <w:shd w:val="clear" w:color="auto" w:fill="D9D9D9"/>
          </w:tcPr>
          <w:p>
            <w:pPr>
              <w:spacing w:after="0"/>
              <w:rPr>
                <w:sz w:val="15"/>
                <w:szCs w:val="15"/>
                <w:color w:val="auto"/>
              </w:rPr>
            </w:pPr>
          </w:p>
        </w:tc>
        <w:tc>
          <w:tcPr>
            <w:tcW w:w="22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Arial" w:cs="Arial" w:eastAsia="Arial" w:hAnsi="Arial"/>
                <w:sz w:val="14"/>
                <w:szCs w:val="14"/>
                <w:color w:val="auto"/>
              </w:rPr>
              <w:t>Lorrie Norrington</w:t>
            </w:r>
          </w:p>
        </w:tc>
        <w:tc>
          <w:tcPr>
            <w:tcW w:w="1880" w:type="dxa"/>
            <w:vAlign w:val="bottom"/>
          </w:tcPr>
          <w:p>
            <w:pPr>
              <w:jc w:val="center"/>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20" w:type="dxa"/>
            <w:vAlign w:val="bottom"/>
          </w:tcPr>
          <w:p>
            <w:pPr>
              <w:jc w:val="center"/>
              <w:ind w:left="68"/>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176"/>
        </w:trPr>
        <w:tc>
          <w:tcPr>
            <w:tcW w:w="2400" w:type="dxa"/>
            <w:vAlign w:val="bottom"/>
            <w:shd w:val="clear" w:color="auto" w:fill="D9D9D9"/>
          </w:tcPr>
          <w:p>
            <w:pPr>
              <w:spacing w:after="0"/>
              <w:rPr>
                <w:sz w:val="20"/>
                <w:szCs w:val="20"/>
                <w:color w:val="auto"/>
              </w:rPr>
            </w:pPr>
            <w:r>
              <w:rPr>
                <w:rFonts w:ascii="Arial" w:cs="Arial" w:eastAsia="Arial" w:hAnsi="Arial"/>
                <w:sz w:val="14"/>
                <w:szCs w:val="14"/>
                <w:color w:val="auto"/>
              </w:rPr>
              <w:t>Avanish Sahai</w:t>
            </w:r>
          </w:p>
        </w:tc>
        <w:tc>
          <w:tcPr>
            <w:tcW w:w="18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7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840" w:type="dxa"/>
            <w:vAlign w:val="bottom"/>
            <w:shd w:val="clear" w:color="auto" w:fill="D9D9D9"/>
          </w:tcPr>
          <w:p>
            <w:pPr>
              <w:spacing w:after="0"/>
              <w:rPr>
                <w:sz w:val="15"/>
                <w:szCs w:val="15"/>
                <w:color w:val="auto"/>
              </w:rPr>
            </w:pPr>
          </w:p>
        </w:tc>
        <w:tc>
          <w:tcPr>
            <w:tcW w:w="22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Arial" w:cs="Arial" w:eastAsia="Arial" w:hAnsi="Arial"/>
                <w:sz w:val="14"/>
                <w:szCs w:val="14"/>
                <w:color w:val="auto"/>
              </w:rPr>
              <w:t>Dharmesh Shah</w:t>
            </w:r>
          </w:p>
        </w:tc>
        <w:tc>
          <w:tcPr>
            <w:tcW w:w="1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D9D9D9"/>
          </w:tcPr>
          <w:p>
            <w:pPr>
              <w:spacing w:after="0"/>
              <w:rPr>
                <w:sz w:val="20"/>
                <w:szCs w:val="20"/>
                <w:color w:val="auto"/>
              </w:rPr>
            </w:pPr>
            <w:r>
              <w:rPr>
                <w:rFonts w:ascii="Arial" w:cs="Arial" w:eastAsia="Arial" w:hAnsi="Arial"/>
                <w:sz w:val="14"/>
                <w:szCs w:val="14"/>
                <w:color w:val="auto"/>
              </w:rPr>
              <w:t>Michael Simon</w:t>
            </w:r>
          </w:p>
        </w:tc>
        <w:tc>
          <w:tcPr>
            <w:tcW w:w="18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760" w:type="dxa"/>
            <w:vAlign w:val="bottom"/>
            <w:shd w:val="clear" w:color="auto" w:fill="D9D9D9"/>
          </w:tcPr>
          <w:p>
            <w:pPr>
              <w:spacing w:after="0"/>
              <w:rPr>
                <w:sz w:val="15"/>
                <w:szCs w:val="15"/>
                <w:color w:val="auto"/>
              </w:rPr>
            </w:pPr>
          </w:p>
        </w:tc>
        <w:tc>
          <w:tcPr>
            <w:tcW w:w="184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Chair</w:t>
            </w:r>
          </w:p>
        </w:tc>
        <w:tc>
          <w:tcPr>
            <w:tcW w:w="22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Arial" w:cs="Arial" w:eastAsia="Arial" w:hAnsi="Arial"/>
                <w:sz w:val="14"/>
                <w:szCs w:val="14"/>
                <w:color w:val="auto"/>
              </w:rPr>
              <w:t>Jay Simons</w:t>
            </w:r>
          </w:p>
        </w:tc>
        <w:tc>
          <w:tcPr>
            <w:tcW w:w="1880" w:type="dxa"/>
            <w:vAlign w:val="bottom"/>
          </w:tcPr>
          <w:p>
            <w:pPr>
              <w:jc w:val="center"/>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15"/>
                <w:szCs w:val="15"/>
                <w:color w:val="auto"/>
              </w:rPr>
            </w:pPr>
          </w:p>
        </w:tc>
        <w:tc>
          <w:tcPr>
            <w:tcW w:w="184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color w:val="auto"/>
              </w:rPr>
              <w:t>Jill Ward</w:t>
            </w:r>
          </w:p>
        </w:tc>
        <w:tc>
          <w:tcPr>
            <w:tcW w:w="18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D9D9D9"/>
          </w:tcPr>
          <w:p>
            <w:pPr>
              <w:spacing w:after="0"/>
              <w:rPr>
                <w:sz w:val="15"/>
                <w:szCs w:val="15"/>
                <w:color w:val="auto"/>
              </w:rPr>
            </w:pPr>
          </w:p>
        </w:tc>
        <w:tc>
          <w:tcPr>
            <w:tcW w:w="1840" w:type="dxa"/>
            <w:vAlign w:val="bottom"/>
            <w:tcBorders>
              <w:bottom w:val="single" w:sz="8" w:color="auto"/>
            </w:tcBorders>
            <w:shd w:val="clear" w:color="auto" w:fill="D9D9D9"/>
          </w:tcPr>
          <w:p>
            <w:pPr>
              <w:jc w:val="center"/>
              <w:ind w:left="88"/>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D9D9D9"/>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Meetings Held in 2019</w:t>
            </w:r>
          </w:p>
        </w:tc>
        <w:tc>
          <w:tcPr>
            <w:tcW w:w="18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18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7</w:t>
            </w:r>
          </w:p>
        </w:tc>
        <w:tc>
          <w:tcPr>
            <w:tcW w:w="22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E36C0A"/>
        </w:rPr>
        <w:t>Audit Committee</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Ms. Herendeen and Messrs. Gill and Sahai currently serve on the Audit Committee, which is chaired by Mr. Gill. The Board has determined that each member of the Audit Committee is “independent” for audit committee purposes as that term is defined under Rule 10A-3 of the Exchange Act, and the applicable NYSE rules. Each member of the Audit Committee meets the requirements for financial literacy under the applicable rules and regulations of the SEC and NYSE. The Board has designated Mr. Gill as an “audit committee financial expert,” as defined under the applicable rules of the SEC. The Audit Committee’s responsibilities include:</w:t>
      </w:r>
    </w:p>
    <w:p>
      <w:pPr>
        <w:spacing w:after="0" w:line="94"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overseeing the work of our independent registered public accounting firm;</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approving the hiring, discharging and compensation of our independent registered public accounting firm;</w:t>
      </w:r>
    </w:p>
    <w:p>
      <w:pPr>
        <w:spacing w:after="0" w:line="117" w:lineRule="exact"/>
        <w:rPr>
          <w:rFonts w:ascii="Arial" w:cs="Arial" w:eastAsia="Arial" w:hAnsi="Arial"/>
          <w:sz w:val="18"/>
          <w:szCs w:val="18"/>
          <w:color w:val="E36F1E"/>
        </w:rPr>
      </w:pPr>
    </w:p>
    <w:p>
      <w:pPr>
        <w:ind w:left="1000" w:right="600" w:hanging="493"/>
        <w:spacing w:after="0" w:line="246" w:lineRule="auto"/>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reviewing the qualifications and independence of the independent registered public accounting firm;</w:t>
      </w:r>
    </w:p>
    <w:p>
      <w:pPr>
        <w:spacing w:after="0" w:line="117" w:lineRule="exact"/>
        <w:rPr>
          <w:rFonts w:ascii="Arial" w:cs="Arial" w:eastAsia="Arial" w:hAnsi="Arial"/>
          <w:sz w:val="18"/>
          <w:szCs w:val="18"/>
          <w:color w:val="E36F1E"/>
        </w:rPr>
      </w:pPr>
    </w:p>
    <w:p>
      <w:pPr>
        <w:ind w:left="1000" w:right="100" w:hanging="493"/>
        <w:spacing w:after="0" w:line="246" w:lineRule="auto"/>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monitoring the rotation of partners of the independent registered public accounting firm on our engagement team as required by law;</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reviewing our consolidated financial statements and reviewing our critical accounting policies and estimates;</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reviewing the adequacy and effectiveness of our internal controls;</w:t>
      </w:r>
    </w:p>
    <w:p>
      <w:pPr>
        <w:spacing w:after="0" w:line="117" w:lineRule="exact"/>
        <w:rPr>
          <w:rFonts w:ascii="Arial" w:cs="Arial" w:eastAsia="Arial" w:hAnsi="Arial"/>
          <w:sz w:val="18"/>
          <w:szCs w:val="18"/>
          <w:color w:val="E36F1E"/>
        </w:rPr>
      </w:pPr>
    </w:p>
    <w:p>
      <w:pPr>
        <w:ind w:left="1000" w:right="20" w:hanging="493"/>
        <w:spacing w:after="0" w:line="246" w:lineRule="auto"/>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reviewing and discussing with management and the independent registered public accounting firm the results of the annual audit of our annual consolidated financial statements and the interim reviews of our quarterly consolidated financial statements; and</w:t>
      </w:r>
    </w:p>
    <w:p>
      <w:pPr>
        <w:spacing w:after="0" w:line="88" w:lineRule="exact"/>
        <w:rPr>
          <w:rFonts w:ascii="Arial" w:cs="Arial" w:eastAsia="Arial" w:hAnsi="Arial"/>
          <w:sz w:val="18"/>
          <w:szCs w:val="18"/>
          <w:color w:val="E36F1E"/>
        </w:rPr>
      </w:pPr>
    </w:p>
    <w:p>
      <w:pPr>
        <w:ind w:left="1000" w:right="40" w:hanging="493"/>
        <w:spacing w:after="0"/>
        <w:tabs>
          <w:tab w:leader="none" w:pos="1000" w:val="left"/>
        </w:tabs>
        <w:numPr>
          <w:ilvl w:val="0"/>
          <w:numId w:val="6"/>
        </w:numPr>
        <w:rPr>
          <w:rFonts w:ascii="Arial" w:cs="Arial" w:eastAsia="Arial" w:hAnsi="Arial"/>
          <w:sz w:val="18"/>
          <w:szCs w:val="18"/>
          <w:color w:val="E36F1E"/>
        </w:rPr>
      </w:pPr>
      <w:r>
        <w:rPr>
          <w:rFonts w:ascii="Arial" w:cs="Arial" w:eastAsia="Arial" w:hAnsi="Arial"/>
          <w:sz w:val="18"/>
          <w:szCs w:val="18"/>
          <w:color w:val="auto"/>
        </w:rPr>
        <w:t>reviewing and assessing the quality and effectiveness of the company’s cybersecurity team, technology, policies and procedures protecting the company’s information technology systems, data, products and services across all business functions, and reporting such findings to the Board, who has final oversight responsibility over cybersecurity-related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Compensation Committee</w:t>
      </w:r>
    </w:p>
    <w:p>
      <w:pPr>
        <w:spacing w:after="0" w:line="12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Ms. Ward and Messrs. Simon and Simons currently serve on the Compensation Committee, which is chaired by Mr. Simon. The Board has determined that each member of the Compensation Committee is “independent” as that term is defined in the applicable SEC and NYSE rules. The Compensation Committee’s responsibilities include:</w:t>
      </w:r>
    </w:p>
    <w:p>
      <w:pPr>
        <w:spacing w:after="0" w:line="95" w:lineRule="exact"/>
        <w:rPr>
          <w:sz w:val="20"/>
          <w:szCs w:val="20"/>
          <w:color w:val="auto"/>
        </w:rPr>
      </w:pPr>
    </w:p>
    <w:p>
      <w:pPr>
        <w:ind w:left="1000" w:right="540" w:hanging="493"/>
        <w:spacing w:after="0" w:line="246" w:lineRule="auto"/>
        <w:tabs>
          <w:tab w:leader="none" w:pos="1000" w:val="left"/>
        </w:tabs>
        <w:numPr>
          <w:ilvl w:val="0"/>
          <w:numId w:val="7"/>
        </w:numPr>
        <w:rPr>
          <w:rFonts w:ascii="Arial" w:cs="Arial" w:eastAsia="Arial" w:hAnsi="Arial"/>
          <w:sz w:val="18"/>
          <w:szCs w:val="18"/>
          <w:color w:val="E36F1E"/>
        </w:rPr>
      </w:pPr>
      <w:r>
        <w:rPr>
          <w:rFonts w:ascii="Arial" w:cs="Arial" w:eastAsia="Arial" w:hAnsi="Arial"/>
          <w:sz w:val="18"/>
          <w:szCs w:val="18"/>
          <w:color w:val="auto"/>
        </w:rPr>
        <w:t>reviewing and approving corporate goals and objectives relevant to compensation of our Chief Executive Officer and other executive officers;</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7"/>
        </w:numPr>
        <w:rPr>
          <w:rFonts w:ascii="Arial" w:cs="Arial" w:eastAsia="Arial" w:hAnsi="Arial"/>
          <w:sz w:val="18"/>
          <w:szCs w:val="18"/>
          <w:color w:val="E36F1E"/>
        </w:rPr>
      </w:pPr>
      <w:r>
        <w:rPr>
          <w:rFonts w:ascii="Arial" w:cs="Arial" w:eastAsia="Arial" w:hAnsi="Arial"/>
          <w:sz w:val="18"/>
          <w:szCs w:val="18"/>
          <w:color w:val="auto"/>
        </w:rPr>
        <w:t>evaluating the performance of our executive officers in light of these established goals and objectives;</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7"/>
        </w:numPr>
        <w:rPr>
          <w:rFonts w:ascii="Arial" w:cs="Arial" w:eastAsia="Arial" w:hAnsi="Arial"/>
          <w:sz w:val="18"/>
          <w:szCs w:val="18"/>
          <w:color w:val="E36F1E"/>
        </w:rPr>
      </w:pPr>
      <w:r>
        <w:rPr>
          <w:rFonts w:ascii="Arial" w:cs="Arial" w:eastAsia="Arial" w:hAnsi="Arial"/>
          <w:sz w:val="18"/>
          <w:szCs w:val="18"/>
          <w:color w:val="auto"/>
        </w:rPr>
        <w:t>reviewing and approving the compensation of our executive officers based on its evaluations;</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7"/>
        </w:numPr>
        <w:rPr>
          <w:rFonts w:ascii="Arial" w:cs="Arial" w:eastAsia="Arial" w:hAnsi="Arial"/>
          <w:sz w:val="18"/>
          <w:szCs w:val="18"/>
          <w:color w:val="E36F1E"/>
        </w:rPr>
      </w:pPr>
      <w:r>
        <w:rPr>
          <w:rFonts w:ascii="Arial" w:cs="Arial" w:eastAsia="Arial" w:hAnsi="Arial"/>
          <w:sz w:val="18"/>
          <w:szCs w:val="18"/>
          <w:color w:val="auto"/>
        </w:rPr>
        <w:t>reviewing and recommending compensation of our non-employee directors;</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7"/>
        </w:numPr>
        <w:rPr>
          <w:rFonts w:ascii="Arial" w:cs="Arial" w:eastAsia="Arial" w:hAnsi="Arial"/>
          <w:sz w:val="18"/>
          <w:szCs w:val="18"/>
          <w:color w:val="E36F1E"/>
        </w:rPr>
      </w:pPr>
      <w:r>
        <w:rPr>
          <w:rFonts w:ascii="Arial" w:cs="Arial" w:eastAsia="Arial" w:hAnsi="Arial"/>
          <w:sz w:val="18"/>
          <w:szCs w:val="18"/>
          <w:color w:val="auto"/>
        </w:rPr>
        <w:t>administering and approving the issuance of stock options and other awards under our stock plans;</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7"/>
        </w:numPr>
        <w:rPr>
          <w:rFonts w:ascii="Arial" w:cs="Arial" w:eastAsia="Arial" w:hAnsi="Arial"/>
          <w:sz w:val="18"/>
          <w:szCs w:val="18"/>
          <w:color w:val="E36F1E"/>
        </w:rPr>
      </w:pPr>
      <w:r>
        <w:rPr>
          <w:rFonts w:ascii="Arial" w:cs="Arial" w:eastAsia="Arial" w:hAnsi="Arial"/>
          <w:sz w:val="18"/>
          <w:szCs w:val="18"/>
          <w:color w:val="auto"/>
        </w:rPr>
        <w:t>retaining and approving the compensation of any compensation advisors; and</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7"/>
        </w:numPr>
        <w:rPr>
          <w:rFonts w:ascii="Arial" w:cs="Arial" w:eastAsia="Arial" w:hAnsi="Arial"/>
          <w:sz w:val="18"/>
          <w:szCs w:val="18"/>
          <w:color w:val="E36F1E"/>
        </w:rPr>
      </w:pPr>
      <w:r>
        <w:rPr>
          <w:rFonts w:ascii="Arial" w:cs="Arial" w:eastAsia="Arial" w:hAnsi="Arial"/>
          <w:sz w:val="18"/>
          <w:szCs w:val="18"/>
          <w:color w:val="auto"/>
        </w:rPr>
        <w:t>evaluating the independence of any such compensation advisors.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Nominating and Corporate Governance Committee</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Mmes. Herendeen, Norrington, and Ward currently serve on the Nominating and Corporate Governance Committee, which is chaired by Ms. Norrington. The Board has determined that each member of the Nominating and Corporate Governance Committee is “independent” as that term is defined in the applicable SEC and NYSE rules. The Nominating and Corporate Governance Committee’s responsibilities include:</w:t>
      </w:r>
    </w:p>
    <w:p>
      <w:pPr>
        <w:spacing w:after="0" w:line="95"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E36F1E"/>
        </w:rPr>
      </w:pPr>
      <w:r>
        <w:rPr>
          <w:rFonts w:ascii="Arial" w:cs="Arial" w:eastAsia="Arial" w:hAnsi="Arial"/>
          <w:sz w:val="18"/>
          <w:szCs w:val="18"/>
          <w:color w:val="auto"/>
        </w:rPr>
        <w:t>evaluating and making recommendations regarding the organization and governance of the Board and its committees;</w:t>
      </w:r>
    </w:p>
    <w:p>
      <w:pPr>
        <w:spacing w:after="0" w:line="117" w:lineRule="exact"/>
        <w:rPr>
          <w:rFonts w:ascii="Arial" w:cs="Arial" w:eastAsia="Arial" w:hAnsi="Arial"/>
          <w:sz w:val="18"/>
          <w:szCs w:val="18"/>
          <w:color w:val="E36F1E"/>
        </w:rPr>
      </w:pPr>
    </w:p>
    <w:p>
      <w:pPr>
        <w:ind w:left="1000" w:right="1100" w:hanging="493"/>
        <w:spacing w:after="0" w:line="246" w:lineRule="auto"/>
        <w:tabs>
          <w:tab w:leader="none" w:pos="1000" w:val="left"/>
        </w:tabs>
        <w:numPr>
          <w:ilvl w:val="0"/>
          <w:numId w:val="8"/>
        </w:numPr>
        <w:rPr>
          <w:rFonts w:ascii="Arial" w:cs="Arial" w:eastAsia="Arial" w:hAnsi="Arial"/>
          <w:sz w:val="18"/>
          <w:szCs w:val="18"/>
          <w:color w:val="E36F1E"/>
        </w:rPr>
      </w:pPr>
      <w:r>
        <w:rPr>
          <w:rFonts w:ascii="Arial" w:cs="Arial" w:eastAsia="Arial" w:hAnsi="Arial"/>
          <w:sz w:val="18"/>
          <w:szCs w:val="18"/>
          <w:color w:val="auto"/>
        </w:rPr>
        <w:t>assessing the performance of members of the Board and making recommendations regarding committee and chair assignments;</w:t>
      </w:r>
    </w:p>
    <w:p>
      <w:pPr>
        <w:spacing w:after="0" w:line="88" w:lineRule="exact"/>
        <w:rPr>
          <w:rFonts w:ascii="Arial" w:cs="Arial" w:eastAsia="Arial" w:hAnsi="Arial"/>
          <w:sz w:val="18"/>
          <w:szCs w:val="18"/>
          <w:color w:val="E36F1E"/>
        </w:rPr>
      </w:pPr>
    </w:p>
    <w:p>
      <w:pPr>
        <w:ind w:left="1000" w:right="80" w:hanging="493"/>
        <w:spacing w:after="0" w:line="246" w:lineRule="auto"/>
        <w:tabs>
          <w:tab w:leader="none" w:pos="1000" w:val="left"/>
        </w:tabs>
        <w:numPr>
          <w:ilvl w:val="0"/>
          <w:numId w:val="8"/>
        </w:numPr>
        <w:rPr>
          <w:rFonts w:ascii="Arial" w:cs="Arial" w:eastAsia="Arial" w:hAnsi="Arial"/>
          <w:sz w:val="18"/>
          <w:szCs w:val="18"/>
          <w:color w:val="E36F1E"/>
        </w:rPr>
      </w:pPr>
      <w:r>
        <w:rPr>
          <w:rFonts w:ascii="Arial" w:cs="Arial" w:eastAsia="Arial" w:hAnsi="Arial"/>
          <w:sz w:val="18"/>
          <w:szCs w:val="18"/>
          <w:color w:val="auto"/>
        </w:rPr>
        <w:t>reviewing and making recommendations with regard to our corporate succession plans for our Chief Executive Officer and other executive officers;</w:t>
      </w:r>
    </w:p>
    <w:p>
      <w:pPr>
        <w:spacing w:after="0" w:line="17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left="1000" w:hanging="493"/>
        <w:spacing w:after="0"/>
        <w:tabs>
          <w:tab w:leader="none" w:pos="1000" w:val="left"/>
        </w:tabs>
        <w:numPr>
          <w:ilvl w:val="0"/>
          <w:numId w:val="9"/>
        </w:numPr>
        <w:rPr>
          <w:rFonts w:ascii="Arial" w:cs="Arial" w:eastAsia="Arial" w:hAnsi="Arial"/>
          <w:sz w:val="18"/>
          <w:szCs w:val="18"/>
          <w:color w:val="E36F1E"/>
        </w:rPr>
      </w:pPr>
      <w:r>
        <w:rPr>
          <w:rFonts w:ascii="Arial" w:cs="Arial" w:eastAsia="Arial" w:hAnsi="Arial"/>
          <w:sz w:val="18"/>
          <w:szCs w:val="18"/>
          <w:color w:val="auto"/>
        </w:rPr>
        <w:t>recommending desired qualifications for Board membership and conducting searches for potential members of the Board;</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9"/>
        </w:numPr>
        <w:rPr>
          <w:rFonts w:ascii="Arial" w:cs="Arial" w:eastAsia="Arial" w:hAnsi="Arial"/>
          <w:sz w:val="18"/>
          <w:szCs w:val="18"/>
          <w:color w:val="E36F1E"/>
        </w:rPr>
      </w:pPr>
      <w:r>
        <w:rPr>
          <w:rFonts w:ascii="Arial" w:cs="Arial" w:eastAsia="Arial" w:hAnsi="Arial"/>
          <w:sz w:val="18"/>
          <w:szCs w:val="18"/>
          <w:color w:val="auto"/>
        </w:rPr>
        <w:t>reviewing and making recommendations with regard to our Corporate Governance Guidelines; and</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9"/>
        </w:numPr>
        <w:rPr>
          <w:rFonts w:ascii="Arial" w:cs="Arial" w:eastAsia="Arial" w:hAnsi="Arial"/>
          <w:sz w:val="18"/>
          <w:szCs w:val="18"/>
          <w:color w:val="E36F1E"/>
        </w:rPr>
      </w:pPr>
      <w:r>
        <w:rPr>
          <w:rFonts w:ascii="Arial" w:cs="Arial" w:eastAsia="Arial" w:hAnsi="Arial"/>
          <w:sz w:val="18"/>
          <w:szCs w:val="18"/>
          <w:color w:val="auto"/>
        </w:rPr>
        <w:t>reviewing and assessing the company’s policies and practices regarding its corporate social responsibilities.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Identifying and Evaluating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Board has delegated the director selection and nomination process to the Nominating and Corporate Governance Committee, with the expectation that other members of the Board, and of management, will be requested to take part in the process as appropriate.</w:t>
      </w:r>
    </w:p>
    <w:p>
      <w:pPr>
        <w:spacing w:after="0" w:line="1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Board. Based on the results of the evaluation process, the Nominating and Corporate Governance Committee recommends candidates for the Board’s approval as director nominees for election to the Board.</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From time to time, we have engaged, for a fee, a third-party search firm to assist the Nominating and Corporate Governance Committee with identifying, evaluating and screening Board candidates for the Company. Rich Talent Group, a boutique search firm, has previously assisted the Nominating and Corporate Governance Committee with evaluating and screening Board candidates, including Jill Ward and Avanish Sahai, who were appointed to the Board in October 2017 and April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Minimum Qualifications</w:t>
      </w:r>
    </w:p>
    <w:p>
      <w:pPr>
        <w:spacing w:after="0" w:line="12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In evaluating proposed director candidates, the Nominating and Corporate Governance Committee may consider all facts and circumstances that it deems appropriate or advisable, including, among other things, the skills of the proposed director candidate, his or her depth and breadth of professional experience or other background characteristics, his or her independence, the current size and composition of our Board and the needs of our Board and its respective committees. Some of the qualifications that our Nominating and Corporate Governance Committee considers include, without limitation, integrity, judgment, diversity of experience, expertise, business acumen, understanding of our business and industry, potential conflicts of interest and other commitments. Nominees must also have proven achievement and competence in their field and the ability to provide guidance to our management team and make significant contributions to our success, and an understanding of the fiduciary responsibilities that are required of a director. Director candidates must have sufficient time available in the judgment of our Nominating and Corporate Governance Committee to perform all Board and committee responsibilities. Members of our Board are expected to prepare for, attend, and participate in all Board of Director and applicable committee meetings.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Stockholder Recommendations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Stockholders may submit recommendations for director candidates to the Nominating and Corporate Governance Committee by sending the individual’s name and qualifications to our Secretary at HubSpot, Inc., 25 First Street, Cambridge, MA 02141,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Stockholder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Board provides to every securityholder and interested party the ability to communicate with the Board, as a whole, and with individual directors on the Board through an established process for securityholder and other interested party communication. For a communication directed to the Board as a whole, securityholders and other interested parties may send such communication to the attention of the Company’s Secretary via U.S. Mail or Expedited Delivery Service to: HubSpot, Inc., 25 First Street, Cambridge, MA 02141, Attn: Board of Directors, c/o Secretary.</w:t>
      </w:r>
    </w:p>
    <w:p>
      <w:pPr>
        <w:spacing w:after="0" w:line="18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For a securityholder communication directed to an individual director in his or her capacity as a member of the Board, securityholders and other interested parties may send such communication to the attention of the individual director via U.S. Mail or Expedited Delivery Service to: HubSpot, Inc., 25 First Street, Cambridge, MA 02141, Attn: [Name of Individual Director], c/o Secretary.</w:t>
      </w:r>
    </w:p>
    <w:p>
      <w:pPr>
        <w:spacing w:after="0" w:line="20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will forward by U.S. Mail any such communication to each director, and the Chairman of the Board in his or her capacity as a representative of the Board, to whom such communication is addressed to the address specified by each such director and the Chairman of the Board, unless there are safety or security concerns that mitigate against further transmission.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Nominating and Corporate Governance Committee oversees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each year and may determine to use an independent third party evaluation process from time to time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One of the key functions of our Board is informed oversight of our risk management process. Our Board does not have a standing risk management committee. Rather, the Board administers this oversight function directly through the Board as a whole, as well as through its standing committees that address risks inherent in their respective areas of oversight. In particular, our Board is responsible for monitoring and assessing strategic risk exposure and overall enterprise risk exposure. Our Audit Committee is responsible for reviewing and discussing our major financial risk exposures and cybersecurity risk exposure, including the steps our management team has taken to monitor and control these exposures, as well as guidelines and policies with respect to risk assessment and risk management. Our Audit Committee also monitors compliance with legal and regulatory requirements, in addition to oversight of the performance of our external audit function. Our Nominating and Corporate Governance Committee monitors the effectiveness of our Corporate Governance Guidelines, Code of Use Good Judgment, and other company policies; oversees executive and board succession planning; and reviews our policies and practices relating to our corporate social responsibilities. Our Compensation Committee reviews and discusses the risks arising from our compensation philosophy, policies, and practices applicable to all employees that are reasonably likely to have a materially adverse effect on us.</w:t>
      </w:r>
    </w:p>
    <w:p>
      <w:pPr>
        <w:spacing w:after="0" w:line="39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Pursuant to our Non-Employee Director Compensation Policy in effect for 2019, our non-employee directors were paid an annual cash retainer of $33,500, our lead independent director was paid an additional annual cash retainer of $17,800 and committee members and committee chairs received additional annual cash retainer fees as set forth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320" w:type="dxa"/>
            <w:vAlign w:val="bottom"/>
            <w:shd w:val="clear" w:color="auto" w:fill="E36F1E"/>
          </w:tcPr>
          <w:p>
            <w:pPr>
              <w:spacing w:after="0"/>
              <w:rPr>
                <w:sz w:val="14"/>
                <w:szCs w:val="14"/>
                <w:color w:val="auto"/>
              </w:rPr>
            </w:pPr>
          </w:p>
        </w:tc>
        <w:tc>
          <w:tcPr>
            <w:tcW w:w="1080" w:type="dxa"/>
            <w:vAlign w:val="bottom"/>
            <w:shd w:val="clear" w:color="auto" w:fill="E36F1E"/>
          </w:tcPr>
          <w:p>
            <w:pPr>
              <w:spacing w:after="0"/>
              <w:rPr>
                <w:sz w:val="14"/>
                <w:szCs w:val="14"/>
                <w:color w:val="auto"/>
              </w:rPr>
            </w:pPr>
          </w:p>
        </w:tc>
        <w:tc>
          <w:tcPr>
            <w:tcW w:w="1380" w:type="dxa"/>
            <w:vAlign w:val="bottom"/>
            <w:shd w:val="clear" w:color="auto" w:fill="E36F1E"/>
          </w:tcPr>
          <w:p>
            <w:pPr>
              <w:spacing w:after="0"/>
              <w:rPr>
                <w:sz w:val="14"/>
                <w:szCs w:val="14"/>
                <w:color w:val="auto"/>
              </w:rPr>
            </w:pPr>
          </w:p>
        </w:tc>
        <w:tc>
          <w:tcPr>
            <w:tcW w:w="260" w:type="dxa"/>
            <w:vAlign w:val="bottom"/>
            <w:shd w:val="clear" w:color="auto" w:fill="E36F1E"/>
          </w:tcPr>
          <w:p>
            <w:pPr>
              <w:spacing w:after="0"/>
              <w:rPr>
                <w:sz w:val="14"/>
                <w:szCs w:val="14"/>
                <w:color w:val="auto"/>
              </w:rPr>
            </w:pPr>
          </w:p>
        </w:tc>
        <w:tc>
          <w:tcPr>
            <w:tcW w:w="1360" w:type="dxa"/>
            <w:vAlign w:val="bottom"/>
            <w:shd w:val="clear" w:color="auto" w:fill="E36F1E"/>
          </w:tcPr>
          <w:p>
            <w:pPr>
              <w:spacing w:after="0"/>
              <w:rPr>
                <w:sz w:val="14"/>
                <w:szCs w:val="14"/>
                <w:color w:val="auto"/>
              </w:rPr>
            </w:pPr>
          </w:p>
        </w:tc>
        <w:tc>
          <w:tcPr>
            <w:tcW w:w="220" w:type="dxa"/>
            <w:vAlign w:val="bottom"/>
            <w:shd w:val="clear" w:color="auto" w:fill="E36F1E"/>
          </w:tcPr>
          <w:p>
            <w:pPr>
              <w:spacing w:after="0"/>
              <w:rPr>
                <w:sz w:val="14"/>
                <w:szCs w:val="14"/>
                <w:color w:val="auto"/>
              </w:rPr>
            </w:pPr>
          </w:p>
        </w:tc>
        <w:tc>
          <w:tcPr>
            <w:tcW w:w="1360" w:type="dxa"/>
            <w:vAlign w:val="bottom"/>
            <w:shd w:val="clear" w:color="auto" w:fill="E36F1E"/>
          </w:tcPr>
          <w:p>
            <w:pPr>
              <w:jc w:val="center"/>
              <w:ind w:right="128"/>
              <w:spacing w:after="0"/>
              <w:rPr>
                <w:sz w:val="20"/>
                <w:szCs w:val="20"/>
                <w:color w:val="auto"/>
              </w:rPr>
            </w:pPr>
            <w:r>
              <w:rPr>
                <w:rFonts w:ascii="Arial" w:cs="Arial" w:eastAsia="Arial" w:hAnsi="Arial"/>
                <w:sz w:val="14"/>
                <w:szCs w:val="14"/>
                <w:b w:val="1"/>
                <w:bCs w:val="1"/>
                <w:color w:val="FFFFFF"/>
              </w:rPr>
              <w:t>Nominating and</w:t>
            </w:r>
          </w:p>
        </w:tc>
      </w:tr>
      <w:tr>
        <w:trPr>
          <w:trHeight w:val="162"/>
        </w:trPr>
        <w:tc>
          <w:tcPr>
            <w:tcW w:w="3320" w:type="dxa"/>
            <w:vAlign w:val="bottom"/>
            <w:shd w:val="clear" w:color="auto" w:fill="E36F1E"/>
          </w:tcPr>
          <w:p>
            <w:pPr>
              <w:spacing w:after="0"/>
              <w:rPr>
                <w:sz w:val="14"/>
                <w:szCs w:val="14"/>
                <w:color w:val="auto"/>
              </w:rPr>
            </w:pPr>
          </w:p>
        </w:tc>
        <w:tc>
          <w:tcPr>
            <w:tcW w:w="1080" w:type="dxa"/>
            <w:vAlign w:val="bottom"/>
            <w:shd w:val="clear" w:color="auto" w:fill="E36F1E"/>
          </w:tcPr>
          <w:p>
            <w:pPr>
              <w:spacing w:after="0"/>
              <w:rPr>
                <w:sz w:val="14"/>
                <w:szCs w:val="14"/>
                <w:color w:val="auto"/>
              </w:rPr>
            </w:pPr>
          </w:p>
        </w:tc>
        <w:tc>
          <w:tcPr>
            <w:tcW w:w="1380" w:type="dxa"/>
            <w:vAlign w:val="bottom"/>
            <w:shd w:val="clear" w:color="auto" w:fill="E36F1E"/>
          </w:tcPr>
          <w:p>
            <w:pPr>
              <w:spacing w:after="0"/>
              <w:rPr>
                <w:sz w:val="14"/>
                <w:szCs w:val="14"/>
                <w:color w:val="auto"/>
              </w:rPr>
            </w:pPr>
          </w:p>
        </w:tc>
        <w:tc>
          <w:tcPr>
            <w:tcW w:w="260" w:type="dxa"/>
            <w:vAlign w:val="bottom"/>
            <w:shd w:val="clear" w:color="auto" w:fill="E36F1E"/>
          </w:tcPr>
          <w:p>
            <w:pPr>
              <w:spacing w:after="0"/>
              <w:rPr>
                <w:sz w:val="14"/>
                <w:szCs w:val="14"/>
                <w:color w:val="auto"/>
              </w:rPr>
            </w:pPr>
          </w:p>
        </w:tc>
        <w:tc>
          <w:tcPr>
            <w:tcW w:w="1360" w:type="dxa"/>
            <w:vAlign w:val="bottom"/>
            <w:shd w:val="clear" w:color="auto" w:fill="E36F1E"/>
          </w:tcPr>
          <w:p>
            <w:pPr>
              <w:spacing w:after="0"/>
              <w:rPr>
                <w:sz w:val="14"/>
                <w:szCs w:val="14"/>
                <w:color w:val="auto"/>
              </w:rPr>
            </w:pPr>
          </w:p>
        </w:tc>
        <w:tc>
          <w:tcPr>
            <w:tcW w:w="220" w:type="dxa"/>
            <w:vAlign w:val="bottom"/>
            <w:shd w:val="clear" w:color="auto" w:fill="E36F1E"/>
          </w:tcPr>
          <w:p>
            <w:pPr>
              <w:spacing w:after="0"/>
              <w:rPr>
                <w:sz w:val="14"/>
                <w:szCs w:val="14"/>
                <w:color w:val="auto"/>
              </w:rPr>
            </w:pPr>
          </w:p>
        </w:tc>
        <w:tc>
          <w:tcPr>
            <w:tcW w:w="1360" w:type="dxa"/>
            <w:vAlign w:val="bottom"/>
            <w:shd w:val="clear" w:color="auto" w:fill="E36F1E"/>
          </w:tcPr>
          <w:p>
            <w:pPr>
              <w:jc w:val="center"/>
              <w:ind w:right="128"/>
              <w:spacing w:after="0"/>
              <w:rPr>
                <w:sz w:val="20"/>
                <w:szCs w:val="20"/>
                <w:color w:val="auto"/>
              </w:rPr>
            </w:pPr>
            <w:r>
              <w:rPr>
                <w:rFonts w:ascii="Arial" w:cs="Arial" w:eastAsia="Arial" w:hAnsi="Arial"/>
                <w:sz w:val="14"/>
                <w:szCs w:val="14"/>
                <w:b w:val="1"/>
                <w:bCs w:val="1"/>
                <w:color w:val="FFFFFF"/>
              </w:rPr>
              <w:t>Corporate</w:t>
            </w:r>
          </w:p>
        </w:tc>
      </w:tr>
      <w:tr>
        <w:trPr>
          <w:trHeight w:val="162"/>
        </w:trPr>
        <w:tc>
          <w:tcPr>
            <w:tcW w:w="3320" w:type="dxa"/>
            <w:vAlign w:val="bottom"/>
            <w:shd w:val="clear" w:color="auto" w:fill="E36F1E"/>
          </w:tcPr>
          <w:p>
            <w:pPr>
              <w:spacing w:after="0"/>
              <w:rPr>
                <w:sz w:val="14"/>
                <w:szCs w:val="14"/>
                <w:color w:val="auto"/>
              </w:rPr>
            </w:pPr>
          </w:p>
        </w:tc>
        <w:tc>
          <w:tcPr>
            <w:tcW w:w="1080" w:type="dxa"/>
            <w:vAlign w:val="bottom"/>
            <w:shd w:val="clear" w:color="auto" w:fill="E36F1E"/>
          </w:tcPr>
          <w:p>
            <w:pPr>
              <w:spacing w:after="0"/>
              <w:rPr>
                <w:sz w:val="14"/>
                <w:szCs w:val="14"/>
                <w:color w:val="auto"/>
              </w:rPr>
            </w:pPr>
          </w:p>
        </w:tc>
        <w:tc>
          <w:tcPr>
            <w:tcW w:w="1380" w:type="dxa"/>
            <w:vAlign w:val="bottom"/>
            <w:shd w:val="clear" w:color="auto" w:fill="E36F1E"/>
          </w:tcPr>
          <w:p>
            <w:pPr>
              <w:spacing w:after="0"/>
              <w:rPr>
                <w:sz w:val="14"/>
                <w:szCs w:val="14"/>
                <w:color w:val="auto"/>
              </w:rPr>
            </w:pPr>
          </w:p>
        </w:tc>
        <w:tc>
          <w:tcPr>
            <w:tcW w:w="260" w:type="dxa"/>
            <w:vAlign w:val="bottom"/>
            <w:shd w:val="clear" w:color="auto" w:fill="E36F1E"/>
          </w:tcPr>
          <w:p>
            <w:pPr>
              <w:spacing w:after="0"/>
              <w:rPr>
                <w:sz w:val="14"/>
                <w:szCs w:val="14"/>
                <w:color w:val="auto"/>
              </w:rPr>
            </w:pPr>
          </w:p>
        </w:tc>
        <w:tc>
          <w:tcPr>
            <w:tcW w:w="1360" w:type="dxa"/>
            <w:vAlign w:val="bottom"/>
            <w:shd w:val="clear" w:color="auto" w:fill="E36F1E"/>
          </w:tcPr>
          <w:p>
            <w:pPr>
              <w:jc w:val="right"/>
              <w:ind w:right="248"/>
              <w:spacing w:after="0"/>
              <w:rPr>
                <w:sz w:val="20"/>
                <w:szCs w:val="20"/>
                <w:color w:val="auto"/>
              </w:rPr>
            </w:pPr>
            <w:r>
              <w:rPr>
                <w:rFonts w:ascii="Arial" w:cs="Arial" w:eastAsia="Arial" w:hAnsi="Arial"/>
                <w:sz w:val="14"/>
                <w:szCs w:val="14"/>
                <w:b w:val="1"/>
                <w:bCs w:val="1"/>
                <w:color w:val="FFFFFF"/>
              </w:rPr>
              <w:t>Compensation</w:t>
            </w:r>
          </w:p>
        </w:tc>
        <w:tc>
          <w:tcPr>
            <w:tcW w:w="220" w:type="dxa"/>
            <w:vAlign w:val="bottom"/>
            <w:shd w:val="clear" w:color="auto" w:fill="E36F1E"/>
          </w:tcPr>
          <w:p>
            <w:pPr>
              <w:spacing w:after="0"/>
              <w:rPr>
                <w:sz w:val="14"/>
                <w:szCs w:val="14"/>
                <w:color w:val="auto"/>
              </w:rPr>
            </w:pPr>
          </w:p>
        </w:tc>
        <w:tc>
          <w:tcPr>
            <w:tcW w:w="1360" w:type="dxa"/>
            <w:vAlign w:val="bottom"/>
            <w:shd w:val="clear" w:color="auto" w:fill="E36F1E"/>
          </w:tcPr>
          <w:p>
            <w:pPr>
              <w:jc w:val="center"/>
              <w:ind w:right="128"/>
              <w:spacing w:after="0"/>
              <w:rPr>
                <w:sz w:val="20"/>
                <w:szCs w:val="20"/>
                <w:color w:val="auto"/>
              </w:rPr>
            </w:pPr>
            <w:r>
              <w:rPr>
                <w:rFonts w:ascii="Arial" w:cs="Arial" w:eastAsia="Arial" w:hAnsi="Arial"/>
                <w:sz w:val="14"/>
                <w:szCs w:val="14"/>
                <w:b w:val="1"/>
                <w:bCs w:val="1"/>
                <w:color w:val="FFFFFF"/>
              </w:rPr>
              <w:t>Governance</w:t>
            </w:r>
          </w:p>
        </w:tc>
      </w:tr>
      <w:tr>
        <w:trPr>
          <w:trHeight w:val="175"/>
        </w:trPr>
        <w:tc>
          <w:tcPr>
            <w:tcW w:w="3320" w:type="dxa"/>
            <w:vAlign w:val="bottom"/>
            <w:shd w:val="clear" w:color="auto" w:fill="E36F1E"/>
          </w:tcPr>
          <w:p>
            <w:pPr>
              <w:spacing w:after="0"/>
              <w:rPr>
                <w:sz w:val="15"/>
                <w:szCs w:val="15"/>
                <w:color w:val="auto"/>
              </w:rPr>
            </w:pPr>
          </w:p>
        </w:tc>
        <w:tc>
          <w:tcPr>
            <w:tcW w:w="1080" w:type="dxa"/>
            <w:vAlign w:val="bottom"/>
            <w:shd w:val="clear" w:color="auto" w:fill="E36F1E"/>
          </w:tcPr>
          <w:p>
            <w:pPr>
              <w:spacing w:after="0"/>
              <w:rPr>
                <w:sz w:val="15"/>
                <w:szCs w:val="15"/>
                <w:color w:val="auto"/>
              </w:rPr>
            </w:pPr>
          </w:p>
        </w:tc>
        <w:tc>
          <w:tcPr>
            <w:tcW w:w="1380" w:type="dxa"/>
            <w:vAlign w:val="bottom"/>
            <w:shd w:val="clear" w:color="auto" w:fill="E36F1E"/>
          </w:tcPr>
          <w:p>
            <w:pPr>
              <w:jc w:val="right"/>
              <w:ind w:right="148"/>
              <w:spacing w:after="0"/>
              <w:rPr>
                <w:sz w:val="20"/>
                <w:szCs w:val="20"/>
                <w:color w:val="auto"/>
              </w:rPr>
            </w:pPr>
            <w:r>
              <w:rPr>
                <w:rFonts w:ascii="Arial" w:cs="Arial" w:eastAsia="Arial" w:hAnsi="Arial"/>
                <w:sz w:val="14"/>
                <w:szCs w:val="14"/>
                <w:b w:val="1"/>
                <w:bCs w:val="1"/>
                <w:color w:val="FFFFFF"/>
              </w:rPr>
              <w:t>Audit Committee</w:t>
            </w:r>
          </w:p>
        </w:tc>
        <w:tc>
          <w:tcPr>
            <w:tcW w:w="260" w:type="dxa"/>
            <w:vAlign w:val="bottom"/>
            <w:shd w:val="clear" w:color="auto" w:fill="E36F1E"/>
          </w:tcPr>
          <w:p>
            <w:pPr>
              <w:spacing w:after="0"/>
              <w:rPr>
                <w:sz w:val="15"/>
                <w:szCs w:val="15"/>
                <w:color w:val="auto"/>
              </w:rPr>
            </w:pPr>
          </w:p>
        </w:tc>
        <w:tc>
          <w:tcPr>
            <w:tcW w:w="1360" w:type="dxa"/>
            <w:vAlign w:val="bottom"/>
            <w:shd w:val="clear" w:color="auto" w:fill="E36F1E"/>
          </w:tcPr>
          <w:p>
            <w:pPr>
              <w:jc w:val="right"/>
              <w:ind w:right="368"/>
              <w:spacing w:after="0"/>
              <w:rPr>
                <w:sz w:val="20"/>
                <w:szCs w:val="20"/>
                <w:color w:val="auto"/>
              </w:rPr>
            </w:pPr>
            <w:r>
              <w:rPr>
                <w:rFonts w:ascii="Arial" w:cs="Arial" w:eastAsia="Arial" w:hAnsi="Arial"/>
                <w:sz w:val="14"/>
                <w:szCs w:val="14"/>
                <w:b w:val="1"/>
                <w:bCs w:val="1"/>
                <w:color w:val="FFFFFF"/>
              </w:rPr>
              <w:t>Committee</w:t>
            </w:r>
          </w:p>
        </w:tc>
        <w:tc>
          <w:tcPr>
            <w:tcW w:w="220" w:type="dxa"/>
            <w:vAlign w:val="bottom"/>
            <w:shd w:val="clear" w:color="auto" w:fill="E36F1E"/>
          </w:tcPr>
          <w:p>
            <w:pPr>
              <w:spacing w:after="0"/>
              <w:rPr>
                <w:sz w:val="15"/>
                <w:szCs w:val="15"/>
                <w:color w:val="auto"/>
              </w:rPr>
            </w:pPr>
          </w:p>
        </w:tc>
        <w:tc>
          <w:tcPr>
            <w:tcW w:w="1360" w:type="dxa"/>
            <w:vAlign w:val="bottom"/>
            <w:shd w:val="clear" w:color="auto" w:fill="E36F1E"/>
          </w:tcPr>
          <w:p>
            <w:pPr>
              <w:jc w:val="center"/>
              <w:ind w:right="148"/>
              <w:spacing w:after="0"/>
              <w:rPr>
                <w:sz w:val="20"/>
                <w:szCs w:val="20"/>
                <w:color w:val="auto"/>
              </w:rPr>
            </w:pPr>
            <w:r>
              <w:rPr>
                <w:rFonts w:ascii="Arial" w:cs="Arial" w:eastAsia="Arial" w:hAnsi="Arial"/>
                <w:sz w:val="14"/>
                <w:szCs w:val="14"/>
                <w:b w:val="1"/>
                <w:bCs w:val="1"/>
                <w:color w:val="FFFFFF"/>
              </w:rPr>
              <w:t>Committee</w:t>
            </w:r>
          </w:p>
        </w:tc>
      </w:tr>
      <w:tr>
        <w:trPr>
          <w:trHeight w:val="175"/>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Annual Committee Member Retainer</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7,500</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4,000</w:t>
            </w:r>
          </w:p>
        </w:tc>
      </w:tr>
      <w:tr>
        <w:trPr>
          <w:trHeight w:val="191"/>
        </w:trPr>
        <w:tc>
          <w:tcPr>
            <w:tcW w:w="3320" w:type="dxa"/>
            <w:vAlign w:val="bottom"/>
          </w:tcPr>
          <w:p>
            <w:pPr>
              <w:spacing w:after="0"/>
              <w:rPr>
                <w:sz w:val="20"/>
                <w:szCs w:val="20"/>
                <w:color w:val="auto"/>
              </w:rPr>
            </w:pPr>
            <w:r>
              <w:rPr>
                <w:rFonts w:ascii="Arial" w:cs="Arial" w:eastAsia="Arial" w:hAnsi="Arial"/>
                <w:sz w:val="14"/>
                <w:szCs w:val="14"/>
                <w:color w:val="auto"/>
              </w:rPr>
              <w:t>Annual Committee Chair Retainer</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20,000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8,500</w:t>
            </w:r>
          </w:p>
        </w:tc>
      </w:tr>
    </w:tbl>
    <w:p>
      <w:pPr>
        <w:spacing w:after="0" w:line="22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 addition, each of our non-employee/non-investor affiliate directors received an annual equity award with a value of $200,000, 25% of which was in the form of an option to purchase shares of our common stock and 75% of which was in the form of a restricted stock unit (“RSU”) award settled in shares of our common stock. Such equity award vests upon the first anniversary of the grant date of such award (or, if earlier, immediately prior to the annual meeting of stockholders that is closest to the first anniversary of the grant date); provided, however, that all vesting ceases if the director resigns from our Board or otherwise ceases to serve as a director, unless the Board determines otherwise in certain warranted circumstances. Newly-elected non-employee directors receive a pro-rated annual equity award. All unvested options or RSU awards held by a non-employee director accelerate and immediately vest if the non-employee director’s service relationship ends within three months prior to or 12 months following a “sale event” (as defined in the Company’s 2014 Stock Option and Incentive Plan).</w:t>
      </w:r>
    </w:p>
    <w:p>
      <w:pPr>
        <w:spacing w:after="0" w:line="19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We reimburse our non-employee directors for their travel, lodging and other reasonable expenses incurred in attending meetings of our Board and Board committees.</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periodically evaluates the compensation of our non-employee directors, including the recommendations of the Compensation Committee. The Board also considers input from the Compensation Committee’s compensation consultant, who reviews director pay levels at peer companies and provides feedback on where our non-employee director compensation is positioned relative to the Company’s peers.</w:t>
      </w:r>
    </w:p>
    <w:p>
      <w:pPr>
        <w:spacing w:after="0" w:line="20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following table provides certain information concerning compensation earned by the non-employee members of our Board during the year ended December 31, 2019 pursuant to our Non-Employee Director Compensation Policy. The table excludes Messrs. Halligan and Shah, who are Named Executive Officers of the Company and did not receive any additional compensation for their service as directors in 2019. The compensation received by Messrs. Halligan and Shah during 2019 is set forth in the section of this Proxy Statement captioned “Executive Compensation— 2019 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2019 Director Compensation Table</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360" w:type="dxa"/>
            <w:vAlign w:val="bottom"/>
            <w:shd w:val="clear" w:color="auto" w:fill="E36F1E"/>
          </w:tcPr>
          <w:p>
            <w:pPr>
              <w:spacing w:after="0"/>
              <w:rPr>
                <w:sz w:val="19"/>
                <w:szCs w:val="19"/>
                <w:color w:val="auto"/>
              </w:rPr>
            </w:pPr>
          </w:p>
        </w:tc>
        <w:tc>
          <w:tcPr>
            <w:tcW w:w="158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Fees Earned</w:t>
            </w:r>
          </w:p>
        </w:tc>
        <w:tc>
          <w:tcPr>
            <w:tcW w:w="2040" w:type="dxa"/>
            <w:vAlign w:val="bottom"/>
            <w:shd w:val="clear" w:color="auto" w:fill="E36F1E"/>
          </w:tcPr>
          <w:p>
            <w:pPr>
              <w:spacing w:after="0"/>
              <w:rPr>
                <w:sz w:val="19"/>
                <w:szCs w:val="19"/>
                <w:color w:val="auto"/>
              </w:rPr>
            </w:pPr>
          </w:p>
        </w:tc>
        <w:tc>
          <w:tcPr>
            <w:tcW w:w="1720" w:type="dxa"/>
            <w:vAlign w:val="bottom"/>
            <w:shd w:val="clear" w:color="auto" w:fill="E36F1E"/>
          </w:tcPr>
          <w:p>
            <w:pPr>
              <w:spacing w:after="0"/>
              <w:rPr>
                <w:sz w:val="19"/>
                <w:szCs w:val="19"/>
                <w:color w:val="auto"/>
              </w:rPr>
            </w:pPr>
          </w:p>
        </w:tc>
        <w:tc>
          <w:tcPr>
            <w:tcW w:w="1400" w:type="dxa"/>
            <w:vAlign w:val="bottom"/>
            <w:shd w:val="clear" w:color="auto" w:fill="E36F1E"/>
          </w:tcPr>
          <w:p>
            <w:pPr>
              <w:spacing w:after="0"/>
              <w:rPr>
                <w:sz w:val="19"/>
                <w:szCs w:val="19"/>
                <w:color w:val="auto"/>
              </w:rPr>
            </w:pPr>
          </w:p>
        </w:tc>
      </w:tr>
      <w:tr>
        <w:trPr>
          <w:trHeight w:val="175"/>
        </w:trPr>
        <w:tc>
          <w:tcPr>
            <w:tcW w:w="3360" w:type="dxa"/>
            <w:vAlign w:val="bottom"/>
            <w:shd w:val="clear" w:color="auto" w:fill="E36F1E"/>
          </w:tcPr>
          <w:p>
            <w:pPr>
              <w:spacing w:after="0"/>
              <w:rPr>
                <w:sz w:val="15"/>
                <w:szCs w:val="15"/>
                <w:color w:val="auto"/>
              </w:rPr>
            </w:pPr>
          </w:p>
        </w:tc>
        <w:tc>
          <w:tcPr>
            <w:tcW w:w="158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or Paid in</w:t>
            </w:r>
          </w:p>
        </w:tc>
        <w:tc>
          <w:tcPr>
            <w:tcW w:w="204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Stock</w:t>
            </w:r>
          </w:p>
        </w:tc>
        <w:tc>
          <w:tcPr>
            <w:tcW w:w="1720" w:type="dxa"/>
            <w:vAlign w:val="bottom"/>
            <w:shd w:val="clear" w:color="auto" w:fill="E36F1E"/>
          </w:tcPr>
          <w:p>
            <w:pPr>
              <w:jc w:val="center"/>
              <w:ind w:right="429"/>
              <w:spacing w:after="0"/>
              <w:rPr>
                <w:sz w:val="20"/>
                <w:szCs w:val="20"/>
                <w:color w:val="auto"/>
              </w:rPr>
            </w:pPr>
            <w:r>
              <w:rPr>
                <w:rFonts w:ascii="Arial" w:cs="Arial" w:eastAsia="Arial" w:hAnsi="Arial"/>
                <w:sz w:val="14"/>
                <w:szCs w:val="14"/>
                <w:b w:val="1"/>
                <w:bCs w:val="1"/>
                <w:color w:val="FFFFFF"/>
              </w:rPr>
              <w:t>Option</w:t>
            </w:r>
          </w:p>
        </w:tc>
        <w:tc>
          <w:tcPr>
            <w:tcW w:w="1400" w:type="dxa"/>
            <w:vAlign w:val="bottom"/>
            <w:shd w:val="clear" w:color="auto" w:fill="E36F1E"/>
          </w:tcPr>
          <w:p>
            <w:pPr>
              <w:spacing w:after="0"/>
              <w:rPr>
                <w:sz w:val="15"/>
                <w:szCs w:val="15"/>
                <w:color w:val="auto"/>
              </w:rPr>
            </w:pPr>
          </w:p>
        </w:tc>
      </w:tr>
      <w:tr>
        <w:trPr>
          <w:trHeight w:val="175"/>
        </w:trPr>
        <w:tc>
          <w:tcPr>
            <w:tcW w:w="3360" w:type="dxa"/>
            <w:vAlign w:val="bottom"/>
            <w:shd w:val="clear" w:color="auto" w:fill="E36F1E"/>
          </w:tcPr>
          <w:p>
            <w:pPr>
              <w:spacing w:after="0"/>
              <w:rPr>
                <w:sz w:val="15"/>
                <w:szCs w:val="15"/>
                <w:color w:val="auto"/>
              </w:rPr>
            </w:pPr>
          </w:p>
        </w:tc>
        <w:tc>
          <w:tcPr>
            <w:tcW w:w="1580" w:type="dxa"/>
            <w:vAlign w:val="bottom"/>
            <w:shd w:val="clear" w:color="auto" w:fill="E36F1E"/>
          </w:tcPr>
          <w:p>
            <w:pPr>
              <w:jc w:val="center"/>
              <w:ind w:left="108"/>
              <w:spacing w:after="0"/>
              <w:rPr>
                <w:sz w:val="20"/>
                <w:szCs w:val="20"/>
                <w:color w:val="auto"/>
              </w:rPr>
            </w:pPr>
            <w:r>
              <w:rPr>
                <w:rFonts w:ascii="Arial" w:cs="Arial" w:eastAsia="Arial" w:hAnsi="Arial"/>
                <w:sz w:val="14"/>
                <w:szCs w:val="14"/>
                <w:b w:val="1"/>
                <w:bCs w:val="1"/>
                <w:color w:val="FFFFFF"/>
              </w:rPr>
              <w:t>Cash</w:t>
            </w:r>
          </w:p>
        </w:tc>
        <w:tc>
          <w:tcPr>
            <w:tcW w:w="204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Awards</w:t>
            </w:r>
          </w:p>
        </w:tc>
        <w:tc>
          <w:tcPr>
            <w:tcW w:w="1720" w:type="dxa"/>
            <w:vAlign w:val="bottom"/>
            <w:shd w:val="clear" w:color="auto" w:fill="E36F1E"/>
          </w:tcPr>
          <w:p>
            <w:pPr>
              <w:jc w:val="center"/>
              <w:ind w:right="429"/>
              <w:spacing w:after="0"/>
              <w:rPr>
                <w:sz w:val="20"/>
                <w:szCs w:val="20"/>
                <w:color w:val="auto"/>
              </w:rPr>
            </w:pPr>
            <w:r>
              <w:rPr>
                <w:rFonts w:ascii="Arial" w:cs="Arial" w:eastAsia="Arial" w:hAnsi="Arial"/>
                <w:sz w:val="14"/>
                <w:szCs w:val="14"/>
                <w:b w:val="1"/>
                <w:bCs w:val="1"/>
                <w:color w:val="FFFFFF"/>
                <w:w w:val="98"/>
              </w:rPr>
              <w:t>Awards</w:t>
            </w:r>
          </w:p>
        </w:tc>
        <w:tc>
          <w:tcPr>
            <w:tcW w:w="1400" w:type="dxa"/>
            <w:vAlign w:val="bottom"/>
            <w:shd w:val="clear" w:color="auto" w:fill="E36F1E"/>
          </w:tcPr>
          <w:p>
            <w:pPr>
              <w:jc w:val="right"/>
              <w:ind w:right="588"/>
              <w:spacing w:after="0"/>
              <w:rPr>
                <w:sz w:val="20"/>
                <w:szCs w:val="20"/>
                <w:color w:val="auto"/>
              </w:rPr>
            </w:pPr>
            <w:r>
              <w:rPr>
                <w:rFonts w:ascii="Arial" w:cs="Arial" w:eastAsia="Arial" w:hAnsi="Arial"/>
                <w:sz w:val="14"/>
                <w:szCs w:val="14"/>
                <w:b w:val="1"/>
                <w:bCs w:val="1"/>
                <w:color w:val="FFFFFF"/>
              </w:rPr>
              <w:t>Total</w:t>
            </w:r>
          </w:p>
        </w:tc>
      </w:tr>
      <w:tr>
        <w:trPr>
          <w:trHeight w:val="243"/>
        </w:trPr>
        <w:tc>
          <w:tcPr>
            <w:tcW w:w="336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58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w:t>
            </w:r>
          </w:p>
        </w:tc>
        <w:tc>
          <w:tcPr>
            <w:tcW w:w="2040" w:type="dxa"/>
            <w:vAlign w:val="bottom"/>
            <w:shd w:val="clear" w:color="auto" w:fill="E36F1E"/>
          </w:tcPr>
          <w:p>
            <w:pPr>
              <w:jc w:val="center"/>
              <w:spacing w:after="0" w:line="243" w:lineRule="exact"/>
              <w:rPr>
                <w:sz w:val="20"/>
                <w:szCs w:val="20"/>
                <w:color w:val="auto"/>
              </w:rPr>
            </w:pPr>
            <w:r>
              <w:rPr>
                <w:rFonts w:ascii="Arial" w:cs="Arial" w:eastAsia="Arial" w:hAnsi="Arial"/>
                <w:sz w:val="28"/>
                <w:szCs w:val="28"/>
                <w:b w:val="1"/>
                <w:bCs w:val="1"/>
                <w:color w:val="FFFFFF"/>
                <w:w w:val="88"/>
                <w:vertAlign w:val="subscript"/>
              </w:rPr>
              <w:t>($)</w:t>
            </w:r>
            <w:r>
              <w:rPr>
                <w:rFonts w:ascii="Arial" w:cs="Arial" w:eastAsia="Arial" w:hAnsi="Arial"/>
                <w:sz w:val="12"/>
                <w:szCs w:val="12"/>
                <w:b w:val="1"/>
                <w:bCs w:val="1"/>
                <w:color w:val="FFFFFF"/>
                <w:w w:val="88"/>
              </w:rPr>
              <w:t xml:space="preserve"> (1)</w:t>
            </w:r>
          </w:p>
        </w:tc>
        <w:tc>
          <w:tcPr>
            <w:tcW w:w="1720" w:type="dxa"/>
            <w:vAlign w:val="bottom"/>
            <w:shd w:val="clear" w:color="auto" w:fill="E36F1E"/>
          </w:tcPr>
          <w:p>
            <w:pPr>
              <w:jc w:val="center"/>
              <w:ind w:right="429"/>
              <w:spacing w:after="0" w:line="243" w:lineRule="exact"/>
              <w:rPr>
                <w:sz w:val="20"/>
                <w:szCs w:val="20"/>
                <w:color w:val="auto"/>
              </w:rPr>
            </w:pPr>
            <w:r>
              <w:rPr>
                <w:rFonts w:ascii="Arial" w:cs="Arial" w:eastAsia="Arial" w:hAnsi="Arial"/>
                <w:sz w:val="28"/>
                <w:szCs w:val="28"/>
                <w:b w:val="1"/>
                <w:bCs w:val="1"/>
                <w:color w:val="FFFFFF"/>
                <w:w w:val="92"/>
                <w:vertAlign w:val="subscript"/>
              </w:rPr>
              <w:t>($)</w:t>
            </w:r>
            <w:r>
              <w:rPr>
                <w:rFonts w:ascii="Arial" w:cs="Arial" w:eastAsia="Arial" w:hAnsi="Arial"/>
                <w:sz w:val="12"/>
                <w:szCs w:val="12"/>
                <w:b w:val="1"/>
                <w:bCs w:val="1"/>
                <w:color w:val="FFFFFF"/>
                <w:w w:val="92"/>
              </w:rPr>
              <w:t xml:space="preserve"> (1)</w:t>
            </w:r>
          </w:p>
        </w:tc>
        <w:tc>
          <w:tcPr>
            <w:tcW w:w="1400" w:type="dxa"/>
            <w:vAlign w:val="bottom"/>
            <w:shd w:val="clear" w:color="auto" w:fill="E36F1E"/>
          </w:tcPr>
          <w:p>
            <w:pPr>
              <w:jc w:val="right"/>
              <w:ind w:right="668"/>
              <w:spacing w:after="0"/>
              <w:rPr>
                <w:sz w:val="20"/>
                <w:szCs w:val="20"/>
                <w:color w:val="auto"/>
              </w:rPr>
            </w:pPr>
            <w:r>
              <w:rPr>
                <w:rFonts w:ascii="Arial" w:cs="Arial" w:eastAsia="Arial" w:hAnsi="Arial"/>
                <w:sz w:val="14"/>
                <w:szCs w:val="14"/>
                <w:b w:val="1"/>
                <w:bCs w:val="1"/>
                <w:color w:val="FFFFFF"/>
              </w:rPr>
              <w:t>($)</w:t>
            </w:r>
          </w:p>
        </w:tc>
      </w:tr>
      <w:tr>
        <w:trPr>
          <w:trHeight w:val="175"/>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Ron Gill</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63,500</w:t>
            </w:r>
          </w:p>
        </w:tc>
        <w:tc>
          <w:tcPr>
            <w:tcW w:w="2040" w:type="dxa"/>
            <w:vAlign w:val="bottom"/>
            <w:shd w:val="clear" w:color="auto" w:fill="CFF0FC"/>
          </w:tcPr>
          <w:p>
            <w:pPr>
              <w:jc w:val="right"/>
              <w:ind w:right="289"/>
              <w:spacing w:after="0"/>
              <w:rPr>
                <w:sz w:val="20"/>
                <w:szCs w:val="20"/>
                <w:color w:val="auto"/>
              </w:rPr>
            </w:pPr>
            <w:r>
              <w:rPr>
                <w:rFonts w:ascii="Arial" w:cs="Arial" w:eastAsia="Arial" w:hAnsi="Arial"/>
                <w:sz w:val="14"/>
                <w:szCs w:val="14"/>
                <w:color w:val="auto"/>
              </w:rPr>
              <w:t>141,457</w:t>
            </w:r>
          </w:p>
        </w:tc>
        <w:tc>
          <w:tcPr>
            <w:tcW w:w="1720" w:type="dxa"/>
            <w:vAlign w:val="bottom"/>
            <w:shd w:val="clear" w:color="auto" w:fill="CFF0FC"/>
          </w:tcPr>
          <w:p>
            <w:pPr>
              <w:jc w:val="right"/>
              <w:ind w:right="329"/>
              <w:spacing w:after="0"/>
              <w:rPr>
                <w:sz w:val="20"/>
                <w:szCs w:val="20"/>
                <w:color w:val="auto"/>
              </w:rPr>
            </w:pPr>
            <w:r>
              <w:rPr>
                <w:rFonts w:ascii="Arial" w:cs="Arial" w:eastAsia="Arial" w:hAnsi="Arial"/>
                <w:sz w:val="14"/>
                <w:szCs w:val="14"/>
                <w:color w:val="auto"/>
              </w:rPr>
              <w:t>46,458</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251,415</w:t>
            </w:r>
          </w:p>
        </w:tc>
      </w:tr>
      <w:tr>
        <w:trPr>
          <w:trHeight w:val="175"/>
        </w:trPr>
        <w:tc>
          <w:tcPr>
            <w:tcW w:w="3360" w:type="dxa"/>
            <w:vAlign w:val="bottom"/>
          </w:tcPr>
          <w:p>
            <w:pPr>
              <w:spacing w:after="0"/>
              <w:rPr>
                <w:sz w:val="20"/>
                <w:szCs w:val="20"/>
                <w:color w:val="auto"/>
              </w:rPr>
            </w:pPr>
            <w:r>
              <w:rPr>
                <w:rFonts w:ascii="Arial" w:cs="Arial" w:eastAsia="Arial" w:hAnsi="Arial"/>
                <w:sz w:val="14"/>
                <w:szCs w:val="14"/>
                <w:color w:val="auto"/>
              </w:rPr>
              <w:t>Julie Herendeen</w:t>
            </w:r>
          </w:p>
        </w:tc>
        <w:tc>
          <w:tcPr>
            <w:tcW w:w="1580" w:type="dxa"/>
            <w:vAlign w:val="bottom"/>
          </w:tcPr>
          <w:p>
            <w:pPr>
              <w:jc w:val="right"/>
              <w:spacing w:after="0"/>
              <w:rPr>
                <w:sz w:val="20"/>
                <w:szCs w:val="20"/>
                <w:color w:val="auto"/>
              </w:rPr>
            </w:pPr>
            <w:r>
              <w:rPr>
                <w:rFonts w:ascii="Arial" w:cs="Arial" w:eastAsia="Arial" w:hAnsi="Arial"/>
                <w:sz w:val="14"/>
                <w:szCs w:val="14"/>
                <w:color w:val="auto"/>
              </w:rPr>
              <w:t>47,500</w:t>
            </w:r>
          </w:p>
        </w:tc>
        <w:tc>
          <w:tcPr>
            <w:tcW w:w="2040" w:type="dxa"/>
            <w:vAlign w:val="bottom"/>
          </w:tcPr>
          <w:p>
            <w:pPr>
              <w:jc w:val="right"/>
              <w:ind w:right="289"/>
              <w:spacing w:after="0"/>
              <w:rPr>
                <w:sz w:val="20"/>
                <w:szCs w:val="20"/>
                <w:color w:val="auto"/>
              </w:rPr>
            </w:pPr>
            <w:r>
              <w:rPr>
                <w:rFonts w:ascii="Arial" w:cs="Arial" w:eastAsia="Arial" w:hAnsi="Arial"/>
                <w:sz w:val="14"/>
                <w:szCs w:val="14"/>
                <w:color w:val="auto"/>
              </w:rPr>
              <w:t>141,457</w:t>
            </w:r>
          </w:p>
        </w:tc>
        <w:tc>
          <w:tcPr>
            <w:tcW w:w="1720" w:type="dxa"/>
            <w:vAlign w:val="bottom"/>
          </w:tcPr>
          <w:p>
            <w:pPr>
              <w:jc w:val="right"/>
              <w:ind w:right="329"/>
              <w:spacing w:after="0"/>
              <w:rPr>
                <w:sz w:val="20"/>
                <w:szCs w:val="20"/>
                <w:color w:val="auto"/>
              </w:rPr>
            </w:pPr>
            <w:r>
              <w:rPr>
                <w:rFonts w:ascii="Arial" w:cs="Arial" w:eastAsia="Arial" w:hAnsi="Arial"/>
                <w:sz w:val="14"/>
                <w:szCs w:val="14"/>
                <w:color w:val="auto"/>
              </w:rPr>
              <w:t>46,458</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235,415</w:t>
            </w:r>
          </w:p>
        </w:tc>
      </w:tr>
      <w:tr>
        <w:trPr>
          <w:trHeight w:val="176"/>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Lorrie Norrington</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63,800</w:t>
            </w:r>
          </w:p>
        </w:tc>
        <w:tc>
          <w:tcPr>
            <w:tcW w:w="2040" w:type="dxa"/>
            <w:vAlign w:val="bottom"/>
            <w:shd w:val="clear" w:color="auto" w:fill="CFF0FC"/>
          </w:tcPr>
          <w:p>
            <w:pPr>
              <w:jc w:val="right"/>
              <w:ind w:right="289"/>
              <w:spacing w:after="0"/>
              <w:rPr>
                <w:sz w:val="20"/>
                <w:szCs w:val="20"/>
                <w:color w:val="auto"/>
              </w:rPr>
            </w:pPr>
            <w:r>
              <w:rPr>
                <w:rFonts w:ascii="Arial" w:cs="Arial" w:eastAsia="Arial" w:hAnsi="Arial"/>
                <w:sz w:val="14"/>
                <w:szCs w:val="14"/>
                <w:color w:val="auto"/>
              </w:rPr>
              <w:t>141,457</w:t>
            </w:r>
          </w:p>
        </w:tc>
        <w:tc>
          <w:tcPr>
            <w:tcW w:w="1720" w:type="dxa"/>
            <w:vAlign w:val="bottom"/>
            <w:shd w:val="clear" w:color="auto" w:fill="CFF0FC"/>
          </w:tcPr>
          <w:p>
            <w:pPr>
              <w:jc w:val="right"/>
              <w:ind w:right="329"/>
              <w:spacing w:after="0"/>
              <w:rPr>
                <w:sz w:val="20"/>
                <w:szCs w:val="20"/>
                <w:color w:val="auto"/>
              </w:rPr>
            </w:pPr>
            <w:r>
              <w:rPr>
                <w:rFonts w:ascii="Arial" w:cs="Arial" w:eastAsia="Arial" w:hAnsi="Arial"/>
                <w:sz w:val="14"/>
                <w:szCs w:val="14"/>
                <w:color w:val="auto"/>
              </w:rPr>
              <w:t>46,458</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251,715</w:t>
            </w:r>
          </w:p>
        </w:tc>
      </w:tr>
      <w:tr>
        <w:trPr>
          <w:trHeight w:val="175"/>
        </w:trPr>
        <w:tc>
          <w:tcPr>
            <w:tcW w:w="3360" w:type="dxa"/>
            <w:vAlign w:val="bottom"/>
          </w:tcPr>
          <w:p>
            <w:pPr>
              <w:spacing w:after="0"/>
              <w:rPr>
                <w:sz w:val="20"/>
                <w:szCs w:val="20"/>
                <w:color w:val="auto"/>
              </w:rPr>
            </w:pPr>
            <w:r>
              <w:rPr>
                <w:rFonts w:ascii="Arial" w:cs="Arial" w:eastAsia="Arial" w:hAnsi="Arial"/>
                <w:sz w:val="14"/>
                <w:szCs w:val="14"/>
                <w:color w:val="auto"/>
              </w:rPr>
              <w:t>Avanish Sahai</w:t>
            </w:r>
          </w:p>
        </w:tc>
        <w:tc>
          <w:tcPr>
            <w:tcW w:w="1580" w:type="dxa"/>
            <w:vAlign w:val="bottom"/>
          </w:tcPr>
          <w:p>
            <w:pPr>
              <w:jc w:val="right"/>
              <w:spacing w:after="0"/>
              <w:rPr>
                <w:sz w:val="20"/>
                <w:szCs w:val="20"/>
                <w:color w:val="auto"/>
              </w:rPr>
            </w:pPr>
            <w:r>
              <w:rPr>
                <w:rFonts w:ascii="Arial" w:cs="Arial" w:eastAsia="Arial" w:hAnsi="Arial"/>
                <w:sz w:val="14"/>
                <w:szCs w:val="14"/>
                <w:color w:val="auto"/>
              </w:rPr>
              <w:t>43,500</w:t>
            </w:r>
          </w:p>
        </w:tc>
        <w:tc>
          <w:tcPr>
            <w:tcW w:w="2040" w:type="dxa"/>
            <w:vAlign w:val="bottom"/>
          </w:tcPr>
          <w:p>
            <w:pPr>
              <w:jc w:val="right"/>
              <w:ind w:right="289"/>
              <w:spacing w:after="0"/>
              <w:rPr>
                <w:sz w:val="20"/>
                <w:szCs w:val="20"/>
                <w:color w:val="auto"/>
              </w:rPr>
            </w:pPr>
            <w:r>
              <w:rPr>
                <w:rFonts w:ascii="Arial" w:cs="Arial" w:eastAsia="Arial" w:hAnsi="Arial"/>
                <w:sz w:val="14"/>
                <w:szCs w:val="14"/>
                <w:color w:val="auto"/>
              </w:rPr>
              <w:t>141,457</w:t>
            </w:r>
          </w:p>
        </w:tc>
        <w:tc>
          <w:tcPr>
            <w:tcW w:w="1720" w:type="dxa"/>
            <w:vAlign w:val="bottom"/>
          </w:tcPr>
          <w:p>
            <w:pPr>
              <w:jc w:val="right"/>
              <w:ind w:right="329"/>
              <w:spacing w:after="0"/>
              <w:rPr>
                <w:sz w:val="20"/>
                <w:szCs w:val="20"/>
                <w:color w:val="auto"/>
              </w:rPr>
            </w:pPr>
            <w:r>
              <w:rPr>
                <w:rFonts w:ascii="Arial" w:cs="Arial" w:eastAsia="Arial" w:hAnsi="Arial"/>
                <w:sz w:val="14"/>
                <w:szCs w:val="14"/>
                <w:color w:val="auto"/>
              </w:rPr>
              <w:t>46,458</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231,415</w:t>
            </w:r>
          </w:p>
        </w:tc>
      </w:tr>
      <w:tr>
        <w:trPr>
          <w:trHeight w:val="175"/>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Michael Simon</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56,000</w:t>
            </w:r>
          </w:p>
        </w:tc>
        <w:tc>
          <w:tcPr>
            <w:tcW w:w="2040" w:type="dxa"/>
            <w:vAlign w:val="bottom"/>
            <w:shd w:val="clear" w:color="auto" w:fill="CFF0FC"/>
          </w:tcPr>
          <w:p>
            <w:pPr>
              <w:jc w:val="right"/>
              <w:ind w:right="289"/>
              <w:spacing w:after="0"/>
              <w:rPr>
                <w:sz w:val="20"/>
                <w:szCs w:val="20"/>
                <w:color w:val="auto"/>
              </w:rPr>
            </w:pPr>
            <w:r>
              <w:rPr>
                <w:rFonts w:ascii="Arial" w:cs="Arial" w:eastAsia="Arial" w:hAnsi="Arial"/>
                <w:sz w:val="14"/>
                <w:szCs w:val="14"/>
                <w:color w:val="auto"/>
              </w:rPr>
              <w:t>141,457</w:t>
            </w:r>
          </w:p>
        </w:tc>
        <w:tc>
          <w:tcPr>
            <w:tcW w:w="1720" w:type="dxa"/>
            <w:vAlign w:val="bottom"/>
            <w:shd w:val="clear" w:color="auto" w:fill="CFF0FC"/>
          </w:tcPr>
          <w:p>
            <w:pPr>
              <w:jc w:val="right"/>
              <w:ind w:right="329"/>
              <w:spacing w:after="0"/>
              <w:rPr>
                <w:sz w:val="20"/>
                <w:szCs w:val="20"/>
                <w:color w:val="auto"/>
              </w:rPr>
            </w:pPr>
            <w:r>
              <w:rPr>
                <w:rFonts w:ascii="Arial" w:cs="Arial" w:eastAsia="Arial" w:hAnsi="Arial"/>
                <w:sz w:val="14"/>
                <w:szCs w:val="14"/>
                <w:color w:val="auto"/>
              </w:rPr>
              <w:t>46,458</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243,915</w:t>
            </w:r>
          </w:p>
        </w:tc>
      </w:tr>
      <w:tr>
        <w:trPr>
          <w:trHeight w:val="175"/>
        </w:trPr>
        <w:tc>
          <w:tcPr>
            <w:tcW w:w="3360" w:type="dxa"/>
            <w:vAlign w:val="bottom"/>
          </w:tcPr>
          <w:p>
            <w:pPr>
              <w:spacing w:after="0"/>
              <w:rPr>
                <w:sz w:val="20"/>
                <w:szCs w:val="20"/>
                <w:color w:val="auto"/>
              </w:rPr>
            </w:pPr>
            <w:r>
              <w:rPr>
                <w:rFonts w:ascii="Arial" w:cs="Arial" w:eastAsia="Arial" w:hAnsi="Arial"/>
                <w:sz w:val="14"/>
                <w:szCs w:val="14"/>
                <w:color w:val="auto"/>
              </w:rPr>
              <w:t>Jay Simons</w:t>
            </w:r>
          </w:p>
        </w:tc>
        <w:tc>
          <w:tcPr>
            <w:tcW w:w="1580" w:type="dxa"/>
            <w:vAlign w:val="bottom"/>
          </w:tcPr>
          <w:p>
            <w:pPr>
              <w:jc w:val="right"/>
              <w:spacing w:after="0"/>
              <w:rPr>
                <w:sz w:val="20"/>
                <w:szCs w:val="20"/>
                <w:color w:val="auto"/>
              </w:rPr>
            </w:pPr>
            <w:r>
              <w:rPr>
                <w:rFonts w:ascii="Arial" w:cs="Arial" w:eastAsia="Arial" w:hAnsi="Arial"/>
                <w:sz w:val="14"/>
                <w:szCs w:val="14"/>
                <w:color w:val="auto"/>
              </w:rPr>
              <w:t>41,000</w:t>
            </w:r>
          </w:p>
        </w:tc>
        <w:tc>
          <w:tcPr>
            <w:tcW w:w="2040" w:type="dxa"/>
            <w:vAlign w:val="bottom"/>
          </w:tcPr>
          <w:p>
            <w:pPr>
              <w:jc w:val="right"/>
              <w:ind w:right="289"/>
              <w:spacing w:after="0"/>
              <w:rPr>
                <w:sz w:val="20"/>
                <w:szCs w:val="20"/>
                <w:color w:val="auto"/>
              </w:rPr>
            </w:pPr>
            <w:r>
              <w:rPr>
                <w:rFonts w:ascii="Arial" w:cs="Arial" w:eastAsia="Arial" w:hAnsi="Arial"/>
                <w:sz w:val="14"/>
                <w:szCs w:val="14"/>
                <w:color w:val="auto"/>
              </w:rPr>
              <w:t>141,457</w:t>
            </w:r>
          </w:p>
        </w:tc>
        <w:tc>
          <w:tcPr>
            <w:tcW w:w="1720" w:type="dxa"/>
            <w:vAlign w:val="bottom"/>
          </w:tcPr>
          <w:p>
            <w:pPr>
              <w:jc w:val="right"/>
              <w:ind w:right="329"/>
              <w:spacing w:after="0"/>
              <w:rPr>
                <w:sz w:val="20"/>
                <w:szCs w:val="20"/>
                <w:color w:val="auto"/>
              </w:rPr>
            </w:pPr>
            <w:r>
              <w:rPr>
                <w:rFonts w:ascii="Arial" w:cs="Arial" w:eastAsia="Arial" w:hAnsi="Arial"/>
                <w:sz w:val="14"/>
                <w:szCs w:val="14"/>
                <w:color w:val="auto"/>
              </w:rPr>
              <w:t>46,458</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228,915</w:t>
            </w:r>
          </w:p>
        </w:tc>
      </w:tr>
      <w:tr>
        <w:trPr>
          <w:trHeight w:val="175"/>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Jill Ward</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33,500</w:t>
            </w:r>
          </w:p>
        </w:tc>
        <w:tc>
          <w:tcPr>
            <w:tcW w:w="2040" w:type="dxa"/>
            <w:vAlign w:val="bottom"/>
            <w:shd w:val="clear" w:color="auto" w:fill="CFF0FC"/>
          </w:tcPr>
          <w:p>
            <w:pPr>
              <w:jc w:val="right"/>
              <w:ind w:right="289"/>
              <w:spacing w:after="0"/>
              <w:rPr>
                <w:sz w:val="20"/>
                <w:szCs w:val="20"/>
                <w:color w:val="auto"/>
              </w:rPr>
            </w:pPr>
            <w:r>
              <w:rPr>
                <w:rFonts w:ascii="Arial" w:cs="Arial" w:eastAsia="Arial" w:hAnsi="Arial"/>
                <w:sz w:val="14"/>
                <w:szCs w:val="14"/>
                <w:color w:val="auto"/>
              </w:rPr>
              <w:t>141,457</w:t>
            </w:r>
          </w:p>
        </w:tc>
        <w:tc>
          <w:tcPr>
            <w:tcW w:w="1720" w:type="dxa"/>
            <w:vAlign w:val="bottom"/>
            <w:shd w:val="clear" w:color="auto" w:fill="CFF0FC"/>
          </w:tcPr>
          <w:p>
            <w:pPr>
              <w:jc w:val="right"/>
              <w:ind w:right="329"/>
              <w:spacing w:after="0"/>
              <w:rPr>
                <w:sz w:val="20"/>
                <w:szCs w:val="20"/>
                <w:color w:val="auto"/>
              </w:rPr>
            </w:pPr>
            <w:r>
              <w:rPr>
                <w:rFonts w:ascii="Arial" w:cs="Arial" w:eastAsia="Arial" w:hAnsi="Arial"/>
                <w:sz w:val="14"/>
                <w:szCs w:val="14"/>
                <w:color w:val="auto"/>
              </w:rPr>
              <w:t>46,458</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221,415</w:t>
            </w:r>
          </w:p>
        </w:tc>
      </w:tr>
    </w:tbl>
    <w:p>
      <w:pPr>
        <w:spacing w:after="0" w:line="126" w:lineRule="exact"/>
        <w:rPr>
          <w:sz w:val="20"/>
          <w:szCs w:val="20"/>
          <w:color w:val="auto"/>
        </w:rPr>
      </w:pPr>
    </w:p>
    <w:p>
      <w:pPr>
        <w:ind w:left="500" w:right="80" w:hanging="492"/>
        <w:spacing w:after="0" w:line="245"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grant-date fair value of RSUs that may be settled for shares of our common stock and options to purchase shares of our common stock calculated in accordance with ASC Topic 718. Such grant-date fair value does not take into account any estimated forfeitures related to service-based vesting conditions. The assumptions used in calculating the grant-date fair value are set forth in the notes to our audited consolidated financial statements presented in our Annual Report on Form 10-K for the fiscal year ended December 31, 2019 (the “2019 Form 10-K”) filed with the Securities and Exchange Commission on February 12, 2020.</w:t>
      </w:r>
    </w:p>
    <w:p>
      <w:pPr>
        <w:spacing w:after="0" w:line="17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E36C0A"/>
        </w:rPr>
        <w:t>Certain Director Equity Information</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non-employee directors held the following aggregate number of shares of our common stock subject to unexercised stock options and unvested RSUs as of December 31, 2019:</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405"/>
        </w:trPr>
        <w:tc>
          <w:tcPr>
            <w:tcW w:w="4260" w:type="dxa"/>
            <w:vAlign w:val="bottom"/>
            <w:shd w:val="clear" w:color="auto" w:fill="E36F1E"/>
          </w:tcPr>
          <w:p>
            <w:pPr>
              <w:spacing w:after="0"/>
              <w:rPr>
                <w:sz w:val="24"/>
                <w:szCs w:val="24"/>
                <w:color w:val="auto"/>
              </w:rPr>
            </w:pPr>
          </w:p>
        </w:tc>
        <w:tc>
          <w:tcPr>
            <w:tcW w:w="172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Number of</w:t>
            </w:r>
          </w:p>
        </w:tc>
        <w:tc>
          <w:tcPr>
            <w:tcW w:w="1880" w:type="dxa"/>
            <w:vAlign w:val="bottom"/>
            <w:shd w:val="clear" w:color="auto" w:fill="E36F1E"/>
          </w:tcPr>
          <w:p>
            <w:pPr>
              <w:spacing w:after="0"/>
              <w:rPr>
                <w:sz w:val="24"/>
                <w:szCs w:val="24"/>
                <w:color w:val="auto"/>
              </w:rPr>
            </w:pPr>
          </w:p>
        </w:tc>
      </w:tr>
      <w:tr>
        <w:trPr>
          <w:trHeight w:val="176"/>
        </w:trPr>
        <w:tc>
          <w:tcPr>
            <w:tcW w:w="4260" w:type="dxa"/>
            <w:vAlign w:val="bottom"/>
            <w:shd w:val="clear" w:color="auto" w:fill="E36F1E"/>
          </w:tcPr>
          <w:p>
            <w:pPr>
              <w:spacing w:after="0"/>
              <w:rPr>
                <w:sz w:val="15"/>
                <w:szCs w:val="15"/>
                <w:color w:val="auto"/>
              </w:rPr>
            </w:pPr>
          </w:p>
        </w:tc>
        <w:tc>
          <w:tcPr>
            <w:tcW w:w="1720" w:type="dxa"/>
            <w:vAlign w:val="bottom"/>
            <w:shd w:val="clear" w:color="auto" w:fill="E36F1E"/>
          </w:tcPr>
          <w:p>
            <w:pPr>
              <w:jc w:val="center"/>
              <w:ind w:left="108"/>
              <w:spacing w:after="0"/>
              <w:rPr>
                <w:sz w:val="20"/>
                <w:szCs w:val="20"/>
                <w:color w:val="auto"/>
              </w:rPr>
            </w:pPr>
            <w:r>
              <w:rPr>
                <w:rFonts w:ascii="Arial" w:cs="Arial" w:eastAsia="Arial" w:hAnsi="Arial"/>
                <w:sz w:val="14"/>
                <w:szCs w:val="14"/>
                <w:b w:val="1"/>
                <w:bCs w:val="1"/>
                <w:color w:val="FFFFFF"/>
              </w:rPr>
              <w:t>Securities</w:t>
            </w:r>
          </w:p>
        </w:tc>
        <w:tc>
          <w:tcPr>
            <w:tcW w:w="188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Number of</w:t>
            </w:r>
          </w:p>
        </w:tc>
      </w:tr>
      <w:tr>
        <w:trPr>
          <w:trHeight w:val="175"/>
        </w:trPr>
        <w:tc>
          <w:tcPr>
            <w:tcW w:w="4260" w:type="dxa"/>
            <w:vAlign w:val="bottom"/>
            <w:shd w:val="clear" w:color="auto" w:fill="E36F1E"/>
          </w:tcPr>
          <w:p>
            <w:pPr>
              <w:spacing w:after="0"/>
              <w:rPr>
                <w:sz w:val="15"/>
                <w:szCs w:val="15"/>
                <w:color w:val="auto"/>
              </w:rPr>
            </w:pPr>
          </w:p>
        </w:tc>
        <w:tc>
          <w:tcPr>
            <w:tcW w:w="1720" w:type="dxa"/>
            <w:vAlign w:val="bottom"/>
            <w:shd w:val="clear" w:color="auto" w:fill="E36F1E"/>
          </w:tcPr>
          <w:p>
            <w:pPr>
              <w:jc w:val="center"/>
              <w:ind w:left="108"/>
              <w:spacing w:after="0"/>
              <w:rPr>
                <w:sz w:val="20"/>
                <w:szCs w:val="20"/>
                <w:color w:val="auto"/>
              </w:rPr>
            </w:pPr>
            <w:r>
              <w:rPr>
                <w:rFonts w:ascii="Arial" w:cs="Arial" w:eastAsia="Arial" w:hAnsi="Arial"/>
                <w:sz w:val="14"/>
                <w:szCs w:val="14"/>
                <w:b w:val="1"/>
                <w:bCs w:val="1"/>
                <w:color w:val="FFFFFF"/>
              </w:rPr>
              <w:t>Underlying</w:t>
            </w:r>
          </w:p>
        </w:tc>
        <w:tc>
          <w:tcPr>
            <w:tcW w:w="188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Unvested</w:t>
            </w:r>
          </w:p>
        </w:tc>
      </w:tr>
      <w:tr>
        <w:trPr>
          <w:trHeight w:val="176"/>
        </w:trPr>
        <w:tc>
          <w:tcPr>
            <w:tcW w:w="4260" w:type="dxa"/>
            <w:vAlign w:val="bottom"/>
            <w:shd w:val="clear" w:color="auto" w:fill="E36F1E"/>
          </w:tcPr>
          <w:p>
            <w:pPr>
              <w:spacing w:after="0"/>
              <w:rPr>
                <w:sz w:val="15"/>
                <w:szCs w:val="15"/>
                <w:color w:val="auto"/>
              </w:rPr>
            </w:pPr>
          </w:p>
        </w:tc>
        <w:tc>
          <w:tcPr>
            <w:tcW w:w="1720" w:type="dxa"/>
            <w:vAlign w:val="bottom"/>
            <w:shd w:val="clear" w:color="auto" w:fill="E36F1E"/>
          </w:tcPr>
          <w:p>
            <w:pPr>
              <w:jc w:val="center"/>
              <w:ind w:left="108"/>
              <w:spacing w:after="0"/>
              <w:rPr>
                <w:sz w:val="20"/>
                <w:szCs w:val="20"/>
                <w:color w:val="auto"/>
              </w:rPr>
            </w:pPr>
            <w:r>
              <w:rPr>
                <w:rFonts w:ascii="Arial" w:cs="Arial" w:eastAsia="Arial" w:hAnsi="Arial"/>
                <w:sz w:val="14"/>
                <w:szCs w:val="14"/>
                <w:b w:val="1"/>
                <w:bCs w:val="1"/>
                <w:color w:val="FFFFFF"/>
              </w:rPr>
              <w:t>Unexercised</w:t>
            </w:r>
          </w:p>
        </w:tc>
        <w:tc>
          <w:tcPr>
            <w:tcW w:w="1880" w:type="dxa"/>
            <w:vAlign w:val="bottom"/>
            <w:shd w:val="clear" w:color="auto" w:fill="E36F1E"/>
          </w:tcPr>
          <w:p>
            <w:pPr>
              <w:jc w:val="center"/>
              <w:ind w:left="108"/>
              <w:spacing w:after="0"/>
              <w:rPr>
                <w:sz w:val="20"/>
                <w:szCs w:val="20"/>
                <w:color w:val="auto"/>
              </w:rPr>
            </w:pPr>
            <w:r>
              <w:rPr>
                <w:rFonts w:ascii="Arial" w:cs="Arial" w:eastAsia="Arial" w:hAnsi="Arial"/>
                <w:sz w:val="14"/>
                <w:szCs w:val="14"/>
                <w:b w:val="1"/>
                <w:bCs w:val="1"/>
                <w:color w:val="FFFFFF"/>
              </w:rPr>
              <w:t>Restricted</w:t>
            </w:r>
          </w:p>
        </w:tc>
      </w:tr>
      <w:tr>
        <w:trPr>
          <w:trHeight w:val="175"/>
        </w:trPr>
        <w:tc>
          <w:tcPr>
            <w:tcW w:w="426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72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Options (#)</w:t>
            </w:r>
          </w:p>
        </w:tc>
        <w:tc>
          <w:tcPr>
            <w:tcW w:w="1880" w:type="dxa"/>
            <w:vAlign w:val="bottom"/>
            <w:shd w:val="clear" w:color="auto" w:fill="E36F1E"/>
          </w:tcPr>
          <w:p>
            <w:pPr>
              <w:jc w:val="center"/>
              <w:ind w:left="88"/>
              <w:spacing w:after="0"/>
              <w:rPr>
                <w:sz w:val="20"/>
                <w:szCs w:val="20"/>
                <w:color w:val="auto"/>
              </w:rPr>
            </w:pPr>
            <w:r>
              <w:rPr>
                <w:rFonts w:ascii="Arial" w:cs="Arial" w:eastAsia="Arial" w:hAnsi="Arial"/>
                <w:sz w:val="14"/>
                <w:szCs w:val="14"/>
                <w:b w:val="1"/>
                <w:bCs w:val="1"/>
                <w:color w:val="FFFFFF"/>
              </w:rPr>
              <w:t>Stock Units (#)</w:t>
            </w:r>
          </w:p>
        </w:tc>
      </w:tr>
      <w:tr>
        <w:trPr>
          <w:trHeight w:val="176"/>
        </w:trPr>
        <w:tc>
          <w:tcPr>
            <w:tcW w:w="4260" w:type="dxa"/>
            <w:vAlign w:val="bottom"/>
          </w:tcPr>
          <w:p>
            <w:pPr>
              <w:spacing w:after="0"/>
              <w:rPr>
                <w:sz w:val="20"/>
                <w:szCs w:val="20"/>
                <w:color w:val="auto"/>
              </w:rPr>
            </w:pPr>
            <w:r>
              <w:rPr>
                <w:rFonts w:ascii="Arial" w:cs="Arial" w:eastAsia="Arial" w:hAnsi="Arial"/>
                <w:sz w:val="14"/>
                <w:szCs w:val="14"/>
                <w:color w:val="auto"/>
              </w:rPr>
              <w:t>Ron Gill</w:t>
            </w:r>
          </w:p>
        </w:tc>
        <w:tc>
          <w:tcPr>
            <w:tcW w:w="1720" w:type="dxa"/>
            <w:vAlign w:val="bottom"/>
          </w:tcPr>
          <w:p>
            <w:pPr>
              <w:jc w:val="right"/>
              <w:spacing w:after="0"/>
              <w:rPr>
                <w:sz w:val="20"/>
                <w:szCs w:val="20"/>
                <w:color w:val="auto"/>
              </w:rPr>
            </w:pPr>
            <w:r>
              <w:rPr>
                <w:rFonts w:ascii="Arial" w:cs="Arial" w:eastAsia="Arial" w:hAnsi="Arial"/>
                <w:sz w:val="14"/>
                <w:szCs w:val="14"/>
                <w:color w:val="auto"/>
              </w:rPr>
              <w:t>11,414</w:t>
            </w: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835</w:t>
            </w:r>
          </w:p>
        </w:tc>
      </w:tr>
      <w:tr>
        <w:trPr>
          <w:trHeight w:val="176"/>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Julie Herendeen</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3,088</w:t>
            </w:r>
          </w:p>
        </w:tc>
        <w:tc>
          <w:tcPr>
            <w:tcW w:w="1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835</w:t>
            </w:r>
          </w:p>
        </w:tc>
      </w:tr>
      <w:tr>
        <w:trPr>
          <w:trHeight w:val="175"/>
        </w:trPr>
        <w:tc>
          <w:tcPr>
            <w:tcW w:w="4260" w:type="dxa"/>
            <w:vAlign w:val="bottom"/>
          </w:tcPr>
          <w:p>
            <w:pPr>
              <w:spacing w:after="0"/>
              <w:rPr>
                <w:sz w:val="20"/>
                <w:szCs w:val="20"/>
                <w:color w:val="auto"/>
              </w:rPr>
            </w:pPr>
            <w:r>
              <w:rPr>
                <w:rFonts w:ascii="Arial" w:cs="Arial" w:eastAsia="Arial" w:hAnsi="Arial"/>
                <w:sz w:val="14"/>
                <w:szCs w:val="14"/>
                <w:color w:val="auto"/>
              </w:rPr>
              <w:t>Lorrie Norrington</w:t>
            </w:r>
          </w:p>
        </w:tc>
        <w:tc>
          <w:tcPr>
            <w:tcW w:w="1720" w:type="dxa"/>
            <w:vAlign w:val="bottom"/>
          </w:tcPr>
          <w:p>
            <w:pPr>
              <w:jc w:val="right"/>
              <w:spacing w:after="0"/>
              <w:rPr>
                <w:sz w:val="20"/>
                <w:szCs w:val="20"/>
                <w:color w:val="auto"/>
              </w:rPr>
            </w:pPr>
            <w:r>
              <w:rPr>
                <w:rFonts w:ascii="Arial" w:cs="Arial" w:eastAsia="Arial" w:hAnsi="Arial"/>
                <w:sz w:val="14"/>
                <w:szCs w:val="14"/>
                <w:color w:val="auto"/>
              </w:rPr>
              <w:t>7,263</w:t>
            </w: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835</w:t>
            </w:r>
          </w:p>
        </w:tc>
      </w:tr>
      <w:tr>
        <w:trPr>
          <w:trHeight w:val="176"/>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Avanish Sahai</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1,683</w:t>
            </w:r>
          </w:p>
        </w:tc>
        <w:tc>
          <w:tcPr>
            <w:tcW w:w="1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835</w:t>
            </w:r>
          </w:p>
        </w:tc>
      </w:tr>
      <w:tr>
        <w:trPr>
          <w:trHeight w:val="175"/>
        </w:trPr>
        <w:tc>
          <w:tcPr>
            <w:tcW w:w="4260" w:type="dxa"/>
            <w:vAlign w:val="bottom"/>
          </w:tcPr>
          <w:p>
            <w:pPr>
              <w:spacing w:after="0"/>
              <w:rPr>
                <w:sz w:val="20"/>
                <w:szCs w:val="20"/>
                <w:color w:val="auto"/>
              </w:rPr>
            </w:pPr>
            <w:r>
              <w:rPr>
                <w:rFonts w:ascii="Arial" w:cs="Arial" w:eastAsia="Arial" w:hAnsi="Arial"/>
                <w:sz w:val="14"/>
                <w:szCs w:val="14"/>
                <w:color w:val="auto"/>
              </w:rPr>
              <w:t>Michael Simon</w:t>
            </w:r>
          </w:p>
        </w:tc>
        <w:tc>
          <w:tcPr>
            <w:tcW w:w="1720" w:type="dxa"/>
            <w:vAlign w:val="bottom"/>
          </w:tcPr>
          <w:p>
            <w:pPr>
              <w:jc w:val="right"/>
              <w:spacing w:after="0"/>
              <w:rPr>
                <w:sz w:val="20"/>
                <w:szCs w:val="20"/>
                <w:color w:val="auto"/>
              </w:rPr>
            </w:pPr>
            <w:r>
              <w:rPr>
                <w:rFonts w:ascii="Arial" w:cs="Arial" w:eastAsia="Arial" w:hAnsi="Arial"/>
                <w:sz w:val="14"/>
                <w:szCs w:val="14"/>
                <w:color w:val="auto"/>
              </w:rPr>
              <w:t>74,747</w:t>
            </w: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835</w:t>
            </w:r>
          </w:p>
        </w:tc>
      </w:tr>
      <w:tr>
        <w:trPr>
          <w:trHeight w:val="176"/>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Jay Simons</w:t>
            </w: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3,854</w:t>
            </w:r>
          </w:p>
        </w:tc>
        <w:tc>
          <w:tcPr>
            <w:tcW w:w="1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835</w:t>
            </w:r>
          </w:p>
        </w:tc>
      </w:tr>
      <w:tr>
        <w:trPr>
          <w:trHeight w:val="190"/>
        </w:trPr>
        <w:tc>
          <w:tcPr>
            <w:tcW w:w="4260" w:type="dxa"/>
            <w:vAlign w:val="bottom"/>
          </w:tcPr>
          <w:p>
            <w:pPr>
              <w:spacing w:after="0"/>
              <w:rPr>
                <w:sz w:val="20"/>
                <w:szCs w:val="20"/>
                <w:color w:val="auto"/>
              </w:rPr>
            </w:pPr>
            <w:r>
              <w:rPr>
                <w:rFonts w:ascii="Arial" w:cs="Arial" w:eastAsia="Arial" w:hAnsi="Arial"/>
                <w:sz w:val="14"/>
                <w:szCs w:val="14"/>
                <w:color w:val="auto"/>
              </w:rPr>
              <w:t>Jill Ward</w:t>
            </w:r>
          </w:p>
        </w:tc>
        <w:tc>
          <w:tcPr>
            <w:tcW w:w="1720" w:type="dxa"/>
            <w:vAlign w:val="bottom"/>
          </w:tcPr>
          <w:p>
            <w:pPr>
              <w:jc w:val="right"/>
              <w:spacing w:after="0"/>
              <w:rPr>
                <w:sz w:val="20"/>
                <w:szCs w:val="20"/>
                <w:color w:val="auto"/>
              </w:rPr>
            </w:pPr>
            <w:r>
              <w:rPr>
                <w:rFonts w:ascii="Arial" w:cs="Arial" w:eastAsia="Arial" w:hAnsi="Arial"/>
                <w:sz w:val="14"/>
                <w:szCs w:val="14"/>
                <w:color w:val="auto"/>
              </w:rPr>
              <w:t>2,476</w:t>
            </w: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835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spacing w:after="0"/>
        <w:rPr>
          <w:sz w:val="20"/>
          <w:szCs w:val="20"/>
          <w:color w:val="auto"/>
        </w:rPr>
      </w:pPr>
      <w:r>
        <w:rPr>
          <w:rFonts w:ascii="Arial" w:cs="Arial" w:eastAsia="Arial" w:hAnsi="Arial"/>
          <w:sz w:val="29"/>
          <w:szCs w:val="29"/>
          <w:b w:val="1"/>
          <w:bCs w:val="1"/>
          <w:color w:val="E36F1E"/>
        </w:rPr>
        <w:t>CORPORATE RESPONSIBILITY AND SUSTAINABILITY</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With a mission of helping millions of organizations grow better, we believe HubSpot needs to lead the way by growing better ourselves as a company. Company culture and investing in our people are not only HR priorities at HubSpot, they are core business priorities. Talent today is looking for companies where they can grow, both personally and professionally, and have an impact. For that reason, we see it as our responsibility to build and scale a culture that helps people do their best work, and is above all, inclusive. In addition to our internal teams dedicated to our culture and diversity, inclusion and belonging, we have a cross-functional sustainability team that is focused on driving forward our corporate responsibility and sustainability efforts. We review our company-wide initiatives and efforts in this area at least annually with our Nominating and Corporate Governance Committee of the Board, which is responsible for and has oversight over this important area under its committee charter.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Award-Winning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2013, we published the HubSpot Culture Code which outlines our core company values, including transparency, autonomy, flexibility, and HEART (an acronym that describes the characteristics that we believe amazing employees have: humble, empathetic, adaptable, remarkable, transparent). The HubSpot Culture Code was initially published as a commitment to our customers about the kind of company we are. Today, the Culture Code has garnered more than five million views and is a top reason candidates say they are drawn to working at HubSpot. Having the tenets of the Culture Code also helps us stay aligned with our values as HubSpot scales globally. A copy of our Culture Code can be found at: www.culturecode.com.</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2019, HubSpot was proud to be named the #1 Best Place to Work in 2020 by the Glassdoor Employees’ Choice Awards. Based on employees’ reviews and feedback, this recognition is a strong testament to the innovative culture we are building, and is a signal to talent that HubSpot is committed to their growth and employee happiness. We operationalize HubSpot’s core culture values in a few important ways to help make that happen.</w:t>
      </w:r>
    </w:p>
    <w:p>
      <w:pPr>
        <w:spacing w:after="0" w:line="75" w:lineRule="exact"/>
        <w:rPr>
          <w:sz w:val="20"/>
          <w:szCs w:val="20"/>
          <w:color w:val="auto"/>
        </w:rPr>
      </w:pPr>
    </w:p>
    <w:p>
      <w:pPr>
        <w:ind w:left="740" w:right="160" w:hanging="368"/>
        <w:spacing w:after="0" w:line="24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w:t>
      </w:r>
      <w:r>
        <w:rPr>
          <w:rFonts w:ascii="Arial" w:cs="Arial" w:eastAsia="Arial" w:hAnsi="Arial"/>
          <w:sz w:val="18"/>
          <w:szCs w:val="18"/>
          <w:color w:val="auto"/>
        </w:rPr>
        <w:t>We believe that results should matter more than when and where they are produced. We also believe that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today should be able to build work around their lives, and not the other way around. HubSpot employees are encouraged to work from home, work remotely, and use our unlimited vacation policy to build a flexible work schedule. Beyond workplace flexibility, we invest in employees’ families, too, with competitive parental leave policies, back-up care options, a ParentSpot employee resource program, and an egg-freezing subsidy benefit so female employees have flexibility in their decision to start a family.</w:t>
      </w:r>
    </w:p>
    <w:p>
      <w:pPr>
        <w:spacing w:after="0" w:line="68" w:lineRule="exact"/>
        <w:rPr>
          <w:rFonts w:ascii="Arial" w:cs="Arial" w:eastAsia="Arial" w:hAnsi="Arial"/>
          <w:sz w:val="18"/>
          <w:szCs w:val="18"/>
          <w:color w:val="auto"/>
        </w:rPr>
      </w:pPr>
    </w:p>
    <w:p>
      <w:pPr>
        <w:ind w:left="740" w:right="20" w:hanging="368"/>
        <w:spacing w:after="0" w:line="257"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Learning and growth opportunities. </w:t>
      </w:r>
      <w:r>
        <w:rPr>
          <w:rFonts w:ascii="Arial" w:cs="Arial" w:eastAsia="Arial" w:hAnsi="Arial"/>
          <w:sz w:val="17"/>
          <w:szCs w:val="17"/>
          <w:color w:val="auto"/>
        </w:rPr>
        <w:t>We invest in employee development at every stage, from hands-on, regionalized onboarding,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1-1 mentorship through programs like UnStuck and the People of Color at HubSpot mentorship program, to year-round manager trainings thanks to our Leadership Development team. We also recognize that learning no longer only happens in a classroom:</w:t>
      </w:r>
    </w:p>
    <w:p>
      <w:pPr>
        <w:spacing w:after="0" w:line="1" w:lineRule="exact"/>
        <w:rPr>
          <w:rFonts w:ascii="Arial" w:cs="Arial" w:eastAsia="Arial" w:hAnsi="Arial"/>
          <w:sz w:val="17"/>
          <w:szCs w:val="17"/>
          <w:color w:val="auto"/>
        </w:rPr>
      </w:pPr>
    </w:p>
    <w:p>
      <w:pPr>
        <w:ind w:left="740" w:right="40"/>
        <w:spacing w:after="0"/>
        <w:rPr>
          <w:rFonts w:ascii="Arial" w:cs="Arial" w:eastAsia="Arial" w:hAnsi="Arial"/>
          <w:sz w:val="17"/>
          <w:szCs w:val="17"/>
          <w:color w:val="auto"/>
        </w:rPr>
      </w:pPr>
      <w:r>
        <w:rPr>
          <w:rFonts w:ascii="Arial" w:cs="Arial" w:eastAsia="Arial" w:hAnsi="Arial"/>
          <w:sz w:val="18"/>
          <w:szCs w:val="18"/>
          <w:color w:val="auto"/>
        </w:rPr>
        <w:t>Learn@HubSpot is an internal, online learning management system designed by our Learning &amp; Development team with self-paced courses on topics ranging from Search Engine Optimization best practices to how to give and receive feedback. Thanks to Learn@HubSpot, employees can learn on-the-go and when it works best for them.</w:t>
      </w:r>
    </w:p>
    <w:p>
      <w:pPr>
        <w:spacing w:after="0" w:line="72" w:lineRule="exact"/>
        <w:rPr>
          <w:rFonts w:ascii="Arial" w:cs="Arial" w:eastAsia="Arial" w:hAnsi="Arial"/>
          <w:sz w:val="17"/>
          <w:szCs w:val="17"/>
          <w:color w:val="auto"/>
        </w:rPr>
      </w:pPr>
    </w:p>
    <w:p>
      <w:pPr>
        <w:ind w:left="740" w:right="20" w:hanging="368"/>
        <w:spacing w:after="0" w:line="259"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Transparency. </w:t>
      </w:r>
      <w:r>
        <w:rPr>
          <w:rFonts w:ascii="Arial" w:cs="Arial" w:eastAsia="Arial" w:hAnsi="Arial"/>
          <w:sz w:val="17"/>
          <w:szCs w:val="17"/>
          <w:color w:val="auto"/>
        </w:rPr>
        <w:t>We believe employees grow through a culture of transparency, autonomy, and strong customer focus.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encourage employees to think like founders, and openly share the information they need to make decisions, introduce new ideas, and understand the business. At quarterly all-hands meetings, employees hear from executives on business performance, company vision, and what keeps them up at night, as well as how HubSpot helps customers grow during the Customer Spotlight Q&amp;A. On our internal company website, known as the “Wiki”, everyone is encouraged to share, discuss, and debate ideas and developments on everything from diversifying our campus recruitment approach to the latest experiments in customer support automation.</w:t>
      </w:r>
    </w:p>
    <w:p>
      <w:pPr>
        <w:spacing w:after="0" w:line="57" w:lineRule="exact"/>
        <w:rPr>
          <w:rFonts w:ascii="Arial" w:cs="Arial" w:eastAsia="Arial" w:hAnsi="Arial"/>
          <w:sz w:val="17"/>
          <w:szCs w:val="17"/>
          <w:color w:val="auto"/>
        </w:rPr>
      </w:pPr>
    </w:p>
    <w:p>
      <w:pPr>
        <w:ind w:left="740" w:right="160" w:hanging="368"/>
        <w:spacing w:after="0" w:line="24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Thoughtful programming. </w:t>
      </w:r>
      <w:r>
        <w:rPr>
          <w:rFonts w:ascii="Arial" w:cs="Arial" w:eastAsia="Arial" w:hAnsi="Arial"/>
          <w:sz w:val="18"/>
          <w:szCs w:val="18"/>
          <w:color w:val="auto"/>
        </w:rPr>
        <w:t>As HubSpot grows, we are thoughtful about how we collect employee feedback to scale these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stay true to our promise of helping employees grow. Our global Culture Team runs programming like HEART Week (a week dedicated to celebrating our core values), Bring Your Kids to Work Day, the Failure Forum (where employees and leadership discuss a time they failed and what they learned from the experience), HubTalks (where influential external leaders, including local politicians, authors, and neuroscience experts, join us for an employee-only Q&amp;A), and more.</w:t>
      </w:r>
    </w:p>
    <w:p>
      <w:pPr>
        <w:spacing w:after="0" w:line="1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Diversity, Inclusion, and Belonging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At HubSpot, diversity, inclusion, and belonging (“DI&amp;B”) is a core part of our mission. HubSpot customers are diverse in their backgrounds, experiences, and needs, and to help them grow better, we need to build a company that is reflective of that diversity. We have incorporated DI&amp;B into our policies and practices, education and events, and executive and community programs, which include:</w:t>
      </w:r>
    </w:p>
    <w:p>
      <w:pPr>
        <w:spacing w:after="0" w:line="73" w:lineRule="exact"/>
        <w:rPr>
          <w:sz w:val="20"/>
          <w:szCs w:val="20"/>
          <w:color w:val="auto"/>
        </w:rPr>
      </w:pPr>
    </w:p>
    <w:p>
      <w:pPr>
        <w:ind w:left="740" w:right="180" w:hanging="368"/>
        <w:spacing w:after="0" w:line="24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Diversity Report. </w:t>
      </w:r>
      <w:r>
        <w:rPr>
          <w:rFonts w:ascii="Arial" w:cs="Arial" w:eastAsia="Arial" w:hAnsi="Arial"/>
          <w:sz w:val="18"/>
          <w:szCs w:val="18"/>
          <w:color w:val="auto"/>
        </w:rPr>
        <w:t>We are one of only a few technology companies that publishes our diversity data externally; our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HubSpot Diversity Report is a detailed analysis of our gender, ethnicity, and age data, as well as self-reported identities including parents and those who are gender diverse. We publish this as a commitment to growing better, and to be transparent with employees, customers, candidates, and our community about our progress and where we need to improve. Our 2020 Diversity Report is available on our website at: www.hubspot.com/diversity-inclusion.</w:t>
      </w:r>
    </w:p>
    <w:p>
      <w:pPr>
        <w:spacing w:after="0" w:line="68" w:lineRule="exact"/>
        <w:rPr>
          <w:rFonts w:ascii="Arial" w:cs="Arial" w:eastAsia="Arial" w:hAnsi="Arial"/>
          <w:sz w:val="18"/>
          <w:szCs w:val="18"/>
          <w:color w:val="auto"/>
        </w:rPr>
      </w:pPr>
    </w:p>
    <w:p>
      <w:pPr>
        <w:ind w:left="740" w:right="720" w:hanging="368"/>
        <w:spacing w:after="0" w:line="271"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DI&amp;B Committee. </w:t>
      </w:r>
      <w:r>
        <w:rPr>
          <w:rFonts w:ascii="Arial" w:cs="Arial" w:eastAsia="Arial" w:hAnsi="Arial"/>
          <w:sz w:val="18"/>
          <w:szCs w:val="18"/>
          <w:color w:val="auto"/>
        </w:rPr>
        <w:t>We have an internal committee comprised of cross-functional leaders, including several members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team, that provide guidance, sponsorship, and thought leadership for company-wide DI&amp;B initiatives.</w:t>
      </w:r>
    </w:p>
    <w:p>
      <w:pPr>
        <w:spacing w:after="0" w:line="4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DI&amp;B Team. </w:t>
      </w:r>
      <w:r>
        <w:rPr>
          <w:rFonts w:ascii="Arial" w:cs="Arial" w:eastAsia="Arial" w:hAnsi="Arial"/>
          <w:sz w:val="18"/>
          <w:szCs w:val="18"/>
          <w:color w:val="auto"/>
        </w:rPr>
        <w:t>We have an internal team dedicated to diversity program management globally, led by our Director of DI&amp;B.</w:t>
      </w:r>
    </w:p>
    <w:p>
      <w:pPr>
        <w:spacing w:after="0" w:line="117" w:lineRule="exact"/>
        <w:rPr>
          <w:rFonts w:ascii="Arial" w:cs="Arial" w:eastAsia="Arial" w:hAnsi="Arial"/>
          <w:sz w:val="18"/>
          <w:szCs w:val="18"/>
          <w:color w:val="auto"/>
        </w:rPr>
      </w:pPr>
    </w:p>
    <w:p>
      <w:pPr>
        <w:ind w:left="740" w:right="60" w:hanging="368"/>
        <w:spacing w:after="0" w:line="253"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Metrics. </w:t>
      </w:r>
      <w:r>
        <w:rPr>
          <w:rFonts w:ascii="Arial" w:cs="Arial" w:eastAsia="Arial" w:hAnsi="Arial"/>
          <w:sz w:val="18"/>
          <w:szCs w:val="18"/>
          <w:color w:val="auto"/>
        </w:rPr>
        <w:t>Since 2018, we have included diversity recruiting and retention as a key goal on our annual company-wide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In addition, we introduced an internal Global Inclusion Index survey in 2019 to track our progress on creating a culture of belonging over time and identify new opportunities to create a more inclusive workplace and more inclusive communities.</w:t>
      </w:r>
    </w:p>
    <w:p>
      <w:pPr>
        <w:spacing w:after="0" w:line="60" w:lineRule="exact"/>
        <w:rPr>
          <w:rFonts w:ascii="Arial" w:cs="Arial" w:eastAsia="Arial" w:hAnsi="Arial"/>
          <w:sz w:val="18"/>
          <w:szCs w:val="18"/>
          <w:color w:val="auto"/>
        </w:rPr>
      </w:pPr>
    </w:p>
    <w:p>
      <w:pPr>
        <w:ind w:left="740" w:right="360" w:hanging="368"/>
        <w:spacing w:after="0" w:line="253"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Attraction. </w:t>
      </w:r>
      <w:r>
        <w:rPr>
          <w:rFonts w:ascii="Arial" w:cs="Arial" w:eastAsia="Arial" w:hAnsi="Arial"/>
          <w:sz w:val="18"/>
          <w:szCs w:val="18"/>
          <w:color w:val="auto"/>
        </w:rPr>
        <w:t>A number of programs and initiatives enhance the diversity and inclusion experience for candidates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including hosting numerous events at our global offices that are open to the community, such as First-Gens in Tech, Women Who Lead, Growing with Pride, and Catalysts for Change.</w:t>
      </w:r>
    </w:p>
    <w:p>
      <w:pPr>
        <w:spacing w:after="0" w:line="60" w:lineRule="exact"/>
        <w:rPr>
          <w:rFonts w:ascii="Arial" w:cs="Arial" w:eastAsia="Arial" w:hAnsi="Arial"/>
          <w:sz w:val="18"/>
          <w:szCs w:val="18"/>
          <w:color w:val="auto"/>
        </w:rPr>
      </w:pPr>
    </w:p>
    <w:p>
      <w:pPr>
        <w:ind w:left="740" w:right="400" w:hanging="368"/>
        <w:spacing w:after="0" w:line="271"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 and Employee Training. </w:t>
      </w:r>
      <w:r>
        <w:rPr>
          <w:rFonts w:ascii="Arial" w:cs="Arial" w:eastAsia="Arial" w:hAnsi="Arial"/>
          <w:sz w:val="18"/>
          <w:szCs w:val="18"/>
          <w:color w:val="auto"/>
        </w:rPr>
        <w:t>HubSpot offers a number of inclusion, diversity, and unconscious bias programs for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leaders and employees to drive engagement and culture change, mitigate bias, and encourage more inclusive behavior.</w:t>
      </w:r>
    </w:p>
    <w:p>
      <w:pPr>
        <w:spacing w:after="0" w:line="45" w:lineRule="exact"/>
        <w:rPr>
          <w:rFonts w:ascii="Arial" w:cs="Arial" w:eastAsia="Arial" w:hAnsi="Arial"/>
          <w:sz w:val="18"/>
          <w:szCs w:val="18"/>
          <w:color w:val="auto"/>
        </w:rPr>
      </w:pPr>
    </w:p>
    <w:p>
      <w:pPr>
        <w:ind w:left="740" w:right="180" w:hanging="368"/>
        <w:spacing w:after="0" w:line="253"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Resource Groups. </w:t>
      </w:r>
      <w:r>
        <w:rPr>
          <w:rFonts w:ascii="Arial" w:cs="Arial" w:eastAsia="Arial" w:hAnsi="Arial"/>
          <w:sz w:val="18"/>
          <w:szCs w:val="18"/>
          <w:color w:val="auto"/>
        </w:rPr>
        <w:t>HubSpot has numerous active employee resource groups, including Women@HubSpot, People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Color at HubSpot, the LGBTQ+ Alliance, and ParentSpot, as well as a variety of interest groups globally including age inclusion, ability &amp; accessibility, and veterans.</w:t>
      </w:r>
    </w:p>
    <w:p>
      <w:pPr>
        <w:spacing w:after="0" w:line="60" w:lineRule="exact"/>
        <w:rPr>
          <w:rFonts w:ascii="Arial" w:cs="Arial" w:eastAsia="Arial" w:hAnsi="Arial"/>
          <w:sz w:val="18"/>
          <w:szCs w:val="18"/>
          <w:color w:val="auto"/>
        </w:rPr>
      </w:pPr>
    </w:p>
    <w:p>
      <w:pPr>
        <w:ind w:left="740" w:right="120" w:hanging="368"/>
        <w:spacing w:after="0" w:line="24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External Website. </w:t>
      </w:r>
      <w:r>
        <w:rPr>
          <w:rFonts w:ascii="Arial" w:cs="Arial" w:eastAsia="Arial" w:hAnsi="Arial"/>
          <w:sz w:val="18"/>
          <w:szCs w:val="18"/>
          <w:color w:val="auto"/>
        </w:rPr>
        <w:t>In 2019, we launched our Diversity and Inclusion webpage to create an inclusive experience for visitors to learn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DI&amp;B at HubSpot. The webpage features HubSpot employees committed to belonging, information about our employee resource groups, snapshot data from our Diversity Report, and a collection of information about DI&amp;B initiatives, learnings, and celebrations in HubSpot’s global offices. Our Diversity and Inclusion webpage can be found at: www.hubspot.com/diversity-inclusion.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DI&amp;B Workplace Awards</w:t>
      </w:r>
    </w:p>
    <w:p>
      <w:pPr>
        <w:spacing w:after="0" w:line="12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addition to being the #1 Best Place to Work in 2020 on Glassdoor, we were honored that HubSpot received important recognitions for our work in DI&amp;B in 2019, including the #3 Best Workplace for Parents by Great Place to Work® and FORTUNE, a Best Workplace for Women by Great Place to Work® and FORTUNE, and a Comparably Best Company for Diversity and for Women.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Diversity of Executive Leadership Team and Board</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Building an organization that is diverse, welcoming, and inclusive is not just a people priority for HubSpot, it is a business priority. Our Board, executive leadership team, and employees are invested in making HubSpot a diverse and inclusive company where everyone can bring their best selves to work with a sense of belonging. We include DI&amp;B goals as part of our company-wide annual strategic goals. We are proud to have four women on our executive leadership team, with 22% of our executive leadership team identifying with a minority group. Of our nine-member Board, three members are women and two members identify as Asian American. Furthermore, our Lead Independent Director is a woman, and our Nominating and Corporate Governance Committee is comprised entirely of women. We are proud to have both an executive leadership team and a Board that represents our customers and employees by bringing diverse ideas and backgrounds to the table. While we do not have a specific policy with regard to the consideration of diversity in identifying director nominees, we believe it is essential to have directors representing diversity in many areas, including but not limited to race, ethnicity, gender, age, abilities, sexual identity, background, and professional experience.</w:t>
      </w:r>
    </w:p>
    <w:p>
      <w:pPr>
        <w:spacing w:after="0" w:line="1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Corporate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As part of our company mission, we are passionate about helping HubSpot’s global communities grow better. Through our global program, HubSpot Helps, we focus on having an impact by focusing our investment in two core areas: education and entrepreneurship. These two areas align with our core mission, as well as employees’ passions globally.</w:t>
      </w:r>
    </w:p>
    <w:p>
      <w:pPr>
        <w:spacing w:after="0" w:line="20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partner with local nonprofits in our global regions who are helping grow access and resources for up-and-coming entrepreneurs, and supporting educational initiatives in our local communities. Our core charity partners include BUILD Boston, United Way, Friends in Action, Junior Achievers Ireland, and A Playful City. Thanks to the support, ideas, and passion from our partners, HubSpot has been able to creatively add value through initiatives like the Zig Zag, a recreational area called HubSpot built and opened to the public in partnership with A Playful City, focused on giving Dublin’s underprivileged community and neighborhoods a safe place to connect. In addition to these partnerships and their ongoing opportunities to give back, including year-round employee volunteer programs and events, mentorship programs for local students, and manager days of service, HubSpot also hosts internal annual charity auctions to raise funds for our non-profit partners.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designed and maintained our global real estate facilities to reduce HubSpot’s environmental impact and have implemented several programs in the areas of video conferencing, workplace flexibility, recycling, and energy conservation that get the job done while using and re-using resources at the most efficient level possible. We encourage remote work and provide our employees with remote access to applications, programs, data, and collaboration tools to reduce environmental cost associated with commuting, office space usage, and team travel. From implementing three-in-one waste sorting credenzas in our locations, lobbying on behalf of charging stations for electric cars at local garages used by HubSpot employees, optimizing the efficiency in lighting and HVAC systems on all fit outs, and sending our annual report and proxy statement electronically to reduce unnecessary paper usage, we are investing in best practices to reduce our carbon footprint and have invested in sustainable design features and green operations in many of our offices. For example, our new Dublin headquarters at HubSpot House is one of only 12 buildings in Ireland that is platinum certified for shell and core in Leadership in Energy and Environmental Design (“LEED”), a voluntary rating system to certify sustainable buildings and neighborhoods. In addition, HubSpot House is one of two buildings with a commercial interior that holds a platinum certification based on version 3 of LEED in Ireland; it is the first and only building with a commercial interior that holds a platinum certification based on version 4 of LEED in Ireland.</w:t>
      </w:r>
    </w:p>
    <w:p>
      <w:pPr>
        <w:spacing w:after="0" w:line="9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donate retired office furniture and information technology hardware (including laptops and computer monitors) to various organizations to extend each piece’s useful life. In addition, equipment from demolitions or rebuilds of our facilities are donated when usable or recycled when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believe privacy is a fundamental human right. Privacy and data protection are also the foundation for trust. Accordingly, we support the roll-out of privacy and data protection laws around the world. The principles embodied in new regulations like the landmark General Data Protection Regulation (“GDPR”) in the European Union and the California Consumer Protection Act (“CCPA”) align with HubSpot’s core company principles and make the internet a safer and more secure place. To that end, we build privacy-enhancing features into our platform, as evidenced by our GDPR playbook that is available on our website at https://www.hubspot.com/data-privacy/gdpr/hubspot-product-playbook. We also help our customers navigate new regulations with resources, including our CCPA Compliance Guide, which is available on our website at https://www.hubspot.com/data-privacy/ccpa/ccpa-compliance.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Use Good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At HubSpot, we are serious about compliance and doing the right thing. To that end, we adopted a Code of Business Conduct and Ethics, which we refer to as our Code of Use Good Judgment, that applies to all of our employees, officers, and directors. This Code highlights that everything we do at HubSpot will be, and should be, measured against the highest possible standards of ethical business conduct. We set the bar high for practical and aspirational reasons, because our commitment to the highest standards helps us solve for our customers, hire great people, build a great platform and products, and attract loyal partners. Trust and mutual respect between us and our customers and partners are the foundation of our success, and following this Code helps us maintain that relationship. We also encourage our employees to report suspected policy violations through our anonymous Whistleblower Hotline (online or via phone). Our Code of Use Good Judgment is available on our Investor Relations website at: https://ir.hubspot.com/leadership.</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Human Rights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Respect for human rights is a fundamental value of HubSpot. Our company operates globally and has offices around the world. Our customers, employees, stockholders, and vendors represent virtually every race, national origin, religion, culture, political philosophy, and language. This diversity is the foundation of our business excellence and embodies HubSpot’s respect for human rights and dignity of all people. Where we have identified adverse human rights impacts resulting from or caused by our business activities, we are committed to provide for or cooperate in their fair and equitable remediation. In March 2020, our Board adopted a Human Rights Policy to outline HubSpot’s position on fundamental human rights. This policy is available on our Investor Relations website at: https://ir.hubspot.com/leadership.</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At HubSpot, we value and consider the viewpoints of a number of stakeholders, including our employees, our customers, our partners, and our stockholders. We have teams dedicated to engagement with each of these stakeholder groups, and feedback is regularly shared with our executive leadership team and Board to review, consider, and incorporate into future priorities for the Company.</w:t>
      </w:r>
    </w:p>
    <w:p>
      <w:pPr>
        <w:spacing w:after="0" w:line="73" w:lineRule="exact"/>
        <w:rPr>
          <w:sz w:val="20"/>
          <w:szCs w:val="20"/>
          <w:color w:val="auto"/>
        </w:rPr>
      </w:pPr>
    </w:p>
    <w:p>
      <w:pPr>
        <w:ind w:left="740" w:right="20" w:hanging="368"/>
        <w:spacing w:after="0" w:line="242"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engagement. </w:t>
      </w:r>
      <w:r>
        <w:rPr>
          <w:rFonts w:ascii="Arial" w:cs="Arial" w:eastAsia="Arial" w:hAnsi="Arial"/>
          <w:sz w:val="18"/>
          <w:szCs w:val="18"/>
          <w:color w:val="auto"/>
        </w:rPr>
        <w:t>We administer a quarterly employee engagement survey, known as our eNPS, to gauge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happiness and engagement. Based on the results and an analysis of what is working about our culture and what needs to improve, our executive leadership team identifies themes and creates action plans to address high-priority feedback. The eNPS analysis and action plan is then shared internally with employees to be transparent about how we are using their feedback to drive change. As of 2019, our eNPS process now includes a Global Inclusion Index survey so we can track progress and collect feedback on our diversity, inclusion, and belonging efforts over time.</w:t>
      </w:r>
    </w:p>
    <w:p>
      <w:pPr>
        <w:spacing w:after="0" w:line="70" w:lineRule="exact"/>
        <w:rPr>
          <w:rFonts w:ascii="Arial" w:cs="Arial" w:eastAsia="Arial" w:hAnsi="Arial"/>
          <w:sz w:val="18"/>
          <w:szCs w:val="18"/>
          <w:color w:val="auto"/>
        </w:rPr>
      </w:pPr>
    </w:p>
    <w:p>
      <w:pPr>
        <w:ind w:left="740" w:right="160" w:hanging="368"/>
        <w:spacing w:after="0" w:line="24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engagement. </w:t>
      </w:r>
      <w:r>
        <w:rPr>
          <w:rFonts w:ascii="Arial" w:cs="Arial" w:eastAsia="Arial" w:hAnsi="Arial"/>
          <w:sz w:val="18"/>
          <w:szCs w:val="18"/>
          <w:color w:val="auto"/>
        </w:rPr>
        <w:t>Our Voice of the Customer team is dedicated to improving the customer experience and reducing friction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customer experience. This team collects and analyzes customer feedback from all channels across the organization and customer journey, distributes insights to relevant teams, and holds the company accountable for taking action on customer feedback. They also manage our Customer Advisory Board (CAB) which is a group of 15 highly engaged customers who have committed to act as trusted advisors and share feedback and explore strategies to help us grow better.</w:t>
      </w:r>
    </w:p>
    <w:p>
      <w:pPr>
        <w:spacing w:after="0" w:line="68" w:lineRule="exact"/>
        <w:rPr>
          <w:rFonts w:ascii="Arial" w:cs="Arial" w:eastAsia="Arial" w:hAnsi="Arial"/>
          <w:sz w:val="18"/>
          <w:szCs w:val="18"/>
          <w:color w:val="auto"/>
        </w:rPr>
      </w:pPr>
    </w:p>
    <w:p>
      <w:pPr>
        <w:ind w:left="740" w:hanging="368"/>
        <w:spacing w:after="0" w:line="24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Partner engagement. </w:t>
      </w:r>
      <w:r>
        <w:rPr>
          <w:rFonts w:ascii="Arial" w:cs="Arial" w:eastAsia="Arial" w:hAnsi="Arial"/>
          <w:sz w:val="18"/>
          <w:szCs w:val="18"/>
          <w:color w:val="auto"/>
        </w:rPr>
        <w:t>In 2017, we launched the HubSpot Partner Advisory Council (“PAC”), which has proven to be an invaluable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 as we work to better communicate with our partner network, gather valuable feedback around our products and the partner program, and make improvements along the way. In 2020, we will have five geography-specific PACs to help understand and drive value in each region: North America, Latin America, EMEA, Australia and New Zealand, and Southeast Asia and India.</w:t>
      </w:r>
    </w:p>
    <w:p>
      <w:pPr>
        <w:spacing w:after="0" w:line="65" w:lineRule="exact"/>
        <w:rPr>
          <w:rFonts w:ascii="Arial" w:cs="Arial" w:eastAsia="Arial" w:hAnsi="Arial"/>
          <w:sz w:val="18"/>
          <w:szCs w:val="18"/>
          <w:color w:val="auto"/>
        </w:rPr>
      </w:pPr>
    </w:p>
    <w:p>
      <w:pPr>
        <w:ind w:left="740" w:right="60" w:hanging="368"/>
        <w:spacing w:after="0" w:line="253"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engagement. </w:t>
      </w:r>
      <w:r>
        <w:rPr>
          <w:rFonts w:ascii="Arial" w:cs="Arial" w:eastAsia="Arial" w:hAnsi="Arial"/>
          <w:sz w:val="18"/>
          <w:szCs w:val="18"/>
          <w:color w:val="auto"/>
        </w:rPr>
        <w:t>Finally, we welcome and value the views and insights of our stockholders and conduct regular outreach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connect with our stockholders to ensure open lines of communication. See the section captioned “Executive Compensation— Stockholder Engagement” for more information on our stockholder engagement program.</w:t>
      </w:r>
    </w:p>
    <w:p>
      <w:pPr>
        <w:spacing w:after="0" w:line="16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2" w:name="page23"/>
    <w:bookmarkEnd w:id="22"/>
    <w:p>
      <w:pPr>
        <w:ind w:right="2920"/>
        <w:spacing w:after="0" w:line="278" w:lineRule="auto"/>
        <w:rPr>
          <w:sz w:val="20"/>
          <w:szCs w:val="20"/>
          <w:color w:val="auto"/>
        </w:rPr>
      </w:pPr>
      <w:r>
        <w:rPr>
          <w:rFonts w:ascii="Arial" w:cs="Arial" w:eastAsia="Arial" w:hAnsi="Arial"/>
          <w:sz w:val="29"/>
          <w:szCs w:val="29"/>
          <w:b w:val="1"/>
          <w:bCs w:val="1"/>
          <w:color w:val="E36F1E"/>
        </w:rPr>
        <w:t>SECURITY OWNERSHIP OF CERTAIN BENEFICIAL OWNERS AND MANAGEMENT</w:t>
      </w:r>
    </w:p>
    <w:p>
      <w:pPr>
        <w:spacing w:after="0" w:line="5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following table sets forth certain information known to us regarding the beneficial ownership of our common stock as of March 2, 2020, for:</w:t>
      </w:r>
    </w:p>
    <w:p>
      <w:pPr>
        <w:spacing w:after="0" w:line="89"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E36F1E"/>
        </w:rPr>
      </w:pPr>
      <w:r>
        <w:rPr>
          <w:rFonts w:ascii="Arial" w:cs="Arial" w:eastAsia="Arial" w:hAnsi="Arial"/>
          <w:sz w:val="18"/>
          <w:szCs w:val="18"/>
          <w:color w:val="auto"/>
        </w:rPr>
        <w:t>each person known by us to be the beneficial owner of more than 5% of our common stock;</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14"/>
        </w:numPr>
        <w:rPr>
          <w:rFonts w:ascii="Arial" w:cs="Arial" w:eastAsia="Arial" w:hAnsi="Arial"/>
          <w:sz w:val="18"/>
          <w:szCs w:val="18"/>
          <w:color w:val="E36F1E"/>
        </w:rPr>
      </w:pPr>
      <w:r>
        <w:rPr>
          <w:rFonts w:ascii="Arial" w:cs="Arial" w:eastAsia="Arial" w:hAnsi="Arial"/>
          <w:sz w:val="18"/>
          <w:szCs w:val="18"/>
          <w:color w:val="auto"/>
        </w:rPr>
        <w:t>our named executive officers;</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14"/>
        </w:numPr>
        <w:rPr>
          <w:rFonts w:ascii="Arial" w:cs="Arial" w:eastAsia="Arial" w:hAnsi="Arial"/>
          <w:sz w:val="18"/>
          <w:szCs w:val="18"/>
          <w:color w:val="E36F1E"/>
        </w:rPr>
      </w:pPr>
      <w:r>
        <w:rPr>
          <w:rFonts w:ascii="Arial" w:cs="Arial" w:eastAsia="Arial" w:hAnsi="Arial"/>
          <w:sz w:val="18"/>
          <w:szCs w:val="18"/>
          <w:color w:val="auto"/>
        </w:rPr>
        <w:t>each of our directors and director nominees; and</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14"/>
        </w:numPr>
        <w:rPr>
          <w:rFonts w:ascii="Arial" w:cs="Arial" w:eastAsia="Arial" w:hAnsi="Arial"/>
          <w:sz w:val="18"/>
          <w:szCs w:val="18"/>
          <w:color w:val="E36F1E"/>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shares of common stock shown as beneficially owned by them.</w:t>
      </w:r>
    </w:p>
    <w:p>
      <w:pPr>
        <w:spacing w:after="0" w:line="205"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The table lists applicable percentage ownership based on 43,340,100 shares of common stock outstanding as of March 2, 2020 unless indicated otherwise. Options to purchase shares of our common stock that are exercisable, and shares of our common stock that may be acquired upon the vesting of RSUs, in each case, within 60 days of March 2, 2020, are deemed to be beneficially owned by the persons holding these options or RSUs, as applicable, for the purpose of computing percentage ownership of that person, but are not treated as outstanding for the purpose of computing any other person’s ownership percentage. Unless otherwise indicated, the address for each beneficial owner is c/o HubSpot, Inc. 25 First Street, Cambridge, MA 02141.</w:t>
      </w:r>
    </w:p>
    <w:p>
      <w:pPr>
        <w:spacing w:after="0" w:line="232"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440" w:type="dxa"/>
            <w:vAlign w:val="bottom"/>
            <w:shd w:val="clear" w:color="auto" w:fill="E36F1E"/>
          </w:tcPr>
          <w:p>
            <w:pPr>
              <w:spacing w:after="0"/>
              <w:rPr>
                <w:sz w:val="19"/>
                <w:szCs w:val="19"/>
                <w:color w:val="auto"/>
              </w:rPr>
            </w:pPr>
          </w:p>
        </w:tc>
        <w:tc>
          <w:tcPr>
            <w:tcW w:w="1640" w:type="dxa"/>
            <w:vAlign w:val="bottom"/>
            <w:shd w:val="clear" w:color="auto" w:fill="E36F1E"/>
          </w:tcPr>
          <w:p>
            <w:pPr>
              <w:jc w:val="right"/>
              <w:ind w:right="168"/>
              <w:spacing w:after="0"/>
              <w:rPr>
                <w:sz w:val="20"/>
                <w:szCs w:val="20"/>
                <w:color w:val="auto"/>
              </w:rPr>
            </w:pPr>
            <w:r>
              <w:rPr>
                <w:rFonts w:ascii="Arial" w:cs="Arial" w:eastAsia="Arial" w:hAnsi="Arial"/>
                <w:sz w:val="14"/>
                <w:szCs w:val="14"/>
                <w:b w:val="1"/>
                <w:bCs w:val="1"/>
                <w:color w:val="FFFFFF"/>
              </w:rPr>
              <w:t>Number of Shares</w:t>
            </w:r>
          </w:p>
        </w:tc>
        <w:tc>
          <w:tcPr>
            <w:tcW w:w="1340" w:type="dxa"/>
            <w:vAlign w:val="bottom"/>
            <w:shd w:val="clear" w:color="auto" w:fill="E36F1E"/>
          </w:tcPr>
          <w:p>
            <w:pPr>
              <w:spacing w:after="0"/>
              <w:rPr>
                <w:sz w:val="19"/>
                <w:szCs w:val="19"/>
                <w:color w:val="auto"/>
              </w:rPr>
            </w:pPr>
          </w:p>
        </w:tc>
      </w:tr>
      <w:tr>
        <w:trPr>
          <w:trHeight w:val="175"/>
        </w:trPr>
        <w:tc>
          <w:tcPr>
            <w:tcW w:w="544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 of Beneficial Owner</w:t>
            </w:r>
          </w:p>
        </w:tc>
        <w:tc>
          <w:tcPr>
            <w:tcW w:w="1640" w:type="dxa"/>
            <w:vAlign w:val="bottom"/>
            <w:shd w:val="clear" w:color="auto" w:fill="E36F1E"/>
          </w:tcPr>
          <w:p>
            <w:pPr>
              <w:jc w:val="right"/>
              <w:ind w:right="128"/>
              <w:spacing w:after="0"/>
              <w:rPr>
                <w:sz w:val="20"/>
                <w:szCs w:val="20"/>
                <w:color w:val="auto"/>
              </w:rPr>
            </w:pPr>
            <w:r>
              <w:rPr>
                <w:rFonts w:ascii="Arial" w:cs="Arial" w:eastAsia="Arial" w:hAnsi="Arial"/>
                <w:sz w:val="14"/>
                <w:szCs w:val="14"/>
                <w:b w:val="1"/>
                <w:bCs w:val="1"/>
                <w:color w:val="FFFFFF"/>
              </w:rPr>
              <w:t>Beneficially Owned</w:t>
            </w:r>
          </w:p>
        </w:tc>
        <w:tc>
          <w:tcPr>
            <w:tcW w:w="1340" w:type="dxa"/>
            <w:vAlign w:val="bottom"/>
            <w:shd w:val="clear" w:color="auto" w:fill="E36F1E"/>
          </w:tcPr>
          <w:p>
            <w:pPr>
              <w:jc w:val="right"/>
              <w:ind w:right="288"/>
              <w:spacing w:after="0"/>
              <w:rPr>
                <w:sz w:val="20"/>
                <w:szCs w:val="20"/>
                <w:color w:val="auto"/>
              </w:rPr>
            </w:pPr>
            <w:r>
              <w:rPr>
                <w:rFonts w:ascii="Arial" w:cs="Arial" w:eastAsia="Arial" w:hAnsi="Arial"/>
                <w:sz w:val="14"/>
                <w:szCs w:val="14"/>
                <w:b w:val="1"/>
                <w:bCs w:val="1"/>
                <w:color w:val="FFFFFF"/>
              </w:rPr>
              <w:t>Percentage</w:t>
            </w:r>
          </w:p>
        </w:tc>
      </w:tr>
      <w:tr>
        <w:trPr>
          <w:trHeight w:val="176"/>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5% Stockholders</w:t>
            </w:r>
          </w:p>
        </w:tc>
        <w:tc>
          <w:tcPr>
            <w:tcW w:w="16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FMR LLC (1)</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5,307,904</w:t>
            </w:r>
          </w:p>
        </w:tc>
        <w:tc>
          <w:tcPr>
            <w:tcW w:w="1340" w:type="dxa"/>
            <w:vAlign w:val="bottom"/>
          </w:tcPr>
          <w:p>
            <w:pPr>
              <w:jc w:val="right"/>
              <w:spacing w:after="0"/>
              <w:rPr>
                <w:sz w:val="20"/>
                <w:szCs w:val="20"/>
                <w:color w:val="auto"/>
              </w:rPr>
            </w:pPr>
            <w:r>
              <w:rPr>
                <w:rFonts w:ascii="Arial" w:cs="Arial" w:eastAsia="Arial" w:hAnsi="Arial"/>
                <w:sz w:val="14"/>
                <w:szCs w:val="14"/>
                <w:color w:val="auto"/>
              </w:rPr>
              <w:t>12.38%</w:t>
            </w:r>
          </w:p>
        </w:tc>
      </w:tr>
      <w:tr>
        <w:trPr>
          <w:trHeight w:val="176"/>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The Vanguard Group (2)</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3,921,905</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w:t>
            </w:r>
          </w:p>
        </w:tc>
      </w:tr>
      <w:tr>
        <w:trPr>
          <w:trHeight w:val="175"/>
        </w:trPr>
        <w:tc>
          <w:tcPr>
            <w:tcW w:w="5440" w:type="dxa"/>
            <w:vAlign w:val="bottom"/>
          </w:tcPr>
          <w:p>
            <w:pPr>
              <w:spacing w:after="0"/>
              <w:rPr>
                <w:sz w:val="20"/>
                <w:szCs w:val="20"/>
                <w:color w:val="auto"/>
              </w:rPr>
            </w:pPr>
            <w:r>
              <w:rPr>
                <w:rFonts w:ascii="Arial" w:cs="Arial" w:eastAsia="Arial" w:hAnsi="Arial"/>
                <w:sz w:val="14"/>
                <w:szCs w:val="14"/>
                <w:i w:val="1"/>
                <w:iCs w:val="1"/>
                <w:color w:val="auto"/>
              </w:rPr>
              <w:t>Executive Officers and Directors</w:t>
            </w: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Kate Bueker (3)</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16,425</w:t>
            </w:r>
          </w:p>
        </w:tc>
        <w:tc>
          <w:tcPr>
            <w:tcW w:w="1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Ron Gill (4)</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24,787</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Brian Halligan (5)</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1,010,849</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Julie Herendeen (6)</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7,630</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John Kelleher (7)</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62,289</w:t>
            </w:r>
          </w:p>
        </w:tc>
        <w:tc>
          <w:tcPr>
            <w:tcW w:w="1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Hunter Madeley (8)</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Lorrie Norrington (9)</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8,073</w:t>
            </w:r>
          </w:p>
        </w:tc>
        <w:tc>
          <w:tcPr>
            <w:tcW w:w="1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Yamini Rangan (10)</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4,816</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Avanish Sahai (11)</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2,225</w:t>
            </w:r>
          </w:p>
        </w:tc>
        <w:tc>
          <w:tcPr>
            <w:tcW w:w="1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Dharmesh Shah (12)</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1,662,223</w:t>
            </w:r>
          </w:p>
        </w:tc>
        <w:tc>
          <w:tcPr>
            <w:tcW w:w="13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75"/>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JD Sherman (13)</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374,717</w:t>
            </w:r>
          </w:p>
        </w:tc>
        <w:tc>
          <w:tcPr>
            <w:tcW w:w="1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Michael Simon (14)</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107,558</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Jay Simons (15)</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6,941</w:t>
            </w:r>
          </w:p>
        </w:tc>
        <w:tc>
          <w:tcPr>
            <w:tcW w:w="1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Jill Ward (16)</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3,900</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All executive officers and directors as a group (14 persons) (17)</w:t>
            </w:r>
          </w:p>
        </w:tc>
        <w:tc>
          <w:tcPr>
            <w:tcW w:w="16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3,292,433</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r>
    </w:tbl>
    <w:p>
      <w:pPr>
        <w:spacing w:after="0" w:line="12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109" w:lineRule="exact"/>
        <w:rPr>
          <w:sz w:val="20"/>
          <w:szCs w:val="20"/>
          <w:color w:val="auto"/>
        </w:rPr>
      </w:pPr>
    </w:p>
    <w:p>
      <w:pPr>
        <w:ind w:left="500" w:right="280" w:hanging="492"/>
        <w:spacing w:after="0" w:line="249"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information is as of December 31, 2019 and is based solely on a Schedule 13G filed by FMR LLC (“FMR”) with the SEC on February 7, 2020. FMR reports sole voting power over 1,439,846 shares and sole dispositive power over 5,307,904 shares. The percent owned is based on the calculation provided by the FMR Schedule 13G. The address of FMR is 245 Summer Street, Boston, Massachusetts 02210.</w:t>
      </w:r>
    </w:p>
    <w:p>
      <w:pPr>
        <w:spacing w:after="0" w:line="92" w:lineRule="exact"/>
        <w:rPr>
          <w:rFonts w:ascii="Arial" w:cs="Arial" w:eastAsia="Arial" w:hAnsi="Arial"/>
          <w:sz w:val="14"/>
          <w:szCs w:val="14"/>
          <w:color w:val="auto"/>
        </w:rPr>
      </w:pPr>
    </w:p>
    <w:p>
      <w:pPr>
        <w:ind w:left="500" w:right="60" w:hanging="492"/>
        <w:spacing w:after="0" w:line="247"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information is as of December 31, 2019 and is based solely on a Schedule 13G filed by The Vanguard Group with the SEC on February 12, 2020. The Vanguard Group reports sole voting power over 23,441 shares, shared voting power over 7,375 shares, sole dispositive power over 3,896,503 shares and shared dispositive power over 25,402 shares. The percent owned is based on the calculation provided by The Vanguard Group Schedule 13G. The address of The Vanguard Group is 100 Vanguard Blvd., Malvern, PA 19355.</w:t>
      </w:r>
    </w:p>
    <w:p>
      <w:pPr>
        <w:spacing w:after="0" w:line="93" w:lineRule="exact"/>
        <w:rPr>
          <w:rFonts w:ascii="Arial" w:cs="Arial" w:eastAsia="Arial" w:hAnsi="Arial"/>
          <w:sz w:val="14"/>
          <w:szCs w:val="14"/>
          <w:color w:val="auto"/>
        </w:rPr>
      </w:pPr>
    </w:p>
    <w:p>
      <w:pPr>
        <w:ind w:left="500" w:right="240" w:hanging="492"/>
        <w:spacing w:after="0" w:line="258"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(i) 5,663 shares of common stock held directly by Ms. Bueker and (ii) 10,762 shares issuable upon exercise of stock options, and/or that may be acquired upon the vesting of RSUs, in each case, within 60 days of March 2, 2020.</w:t>
      </w:r>
    </w:p>
    <w:p>
      <w:pPr>
        <w:spacing w:after="0" w:line="1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3" w:name="page24"/>
    <w:bookmarkEnd w:id="23"/>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14,074 shares of common stock held directly by Mr. Gill and (ii) 10,713 shares issuable upon exercise of stock options within 60 days of March 2, 2020.</w:t>
      </w:r>
    </w:p>
    <w:p>
      <w:pPr>
        <w:spacing w:after="0" w:line="109" w:lineRule="exact"/>
        <w:rPr>
          <w:rFonts w:ascii="Arial" w:cs="Arial" w:eastAsia="Arial" w:hAnsi="Arial"/>
          <w:sz w:val="14"/>
          <w:szCs w:val="14"/>
          <w:color w:val="auto"/>
        </w:rPr>
      </w:pPr>
    </w:p>
    <w:p>
      <w:pPr>
        <w:ind w:left="500" w:right="560" w:hanging="492"/>
        <w:spacing w:after="0" w:line="258"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636,547 shares of common stock held directly by Mr. Halligan and (ii) 374,302 shares issuable upon exercise of stock options, and/or that may be acquired upon the vesting of RSUs, in each case, within 60 days of March 2, 2020.</w:t>
      </w:r>
    </w:p>
    <w:p>
      <w:pPr>
        <w:spacing w:after="0" w:line="85" w:lineRule="exact"/>
        <w:rPr>
          <w:rFonts w:ascii="Arial" w:cs="Arial" w:eastAsia="Arial" w:hAnsi="Arial"/>
          <w:sz w:val="14"/>
          <w:szCs w:val="14"/>
          <w:color w:val="auto"/>
        </w:rPr>
      </w:pPr>
    </w:p>
    <w:p>
      <w:pPr>
        <w:ind w:left="500" w:right="220" w:hanging="492"/>
        <w:spacing w:after="0" w:line="258"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5,243 shares of common stock held directly by Ms. Herendeen and (ii) 2,387 shares issuable upon exercise of stock options within 60 days of March 2, 2020.</w:t>
      </w:r>
    </w:p>
    <w:p>
      <w:pPr>
        <w:spacing w:after="0" w:line="85" w:lineRule="exact"/>
        <w:rPr>
          <w:rFonts w:ascii="Arial" w:cs="Arial" w:eastAsia="Arial" w:hAnsi="Arial"/>
          <w:sz w:val="14"/>
          <w:szCs w:val="14"/>
          <w:color w:val="auto"/>
        </w:rPr>
      </w:pPr>
    </w:p>
    <w:p>
      <w:pPr>
        <w:ind w:left="500" w:right="120" w:hanging="492"/>
        <w:spacing w:after="0" w:line="258"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30,360 shares of common stock held directly by Mr. Kelleher and (ii) 31,929 shares issuable upon exercise of stock options, and/or that may be acquired upon the vesting of RSUs, in each case, within 60 days of March 2, 2020.</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Madeley served as our Chief Sales Officer until July 2, 2019.</w:t>
      </w:r>
    </w:p>
    <w:p>
      <w:pPr>
        <w:spacing w:after="0" w:line="109" w:lineRule="exact"/>
        <w:rPr>
          <w:rFonts w:ascii="Arial" w:cs="Arial" w:eastAsia="Arial" w:hAnsi="Arial"/>
          <w:sz w:val="14"/>
          <w:szCs w:val="14"/>
          <w:color w:val="auto"/>
        </w:rPr>
      </w:pPr>
    </w:p>
    <w:p>
      <w:pPr>
        <w:ind w:left="500" w:right="260" w:hanging="492"/>
        <w:spacing w:after="0" w:line="258"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1,511 shares of common stock held directly by Ms. Norrington and (ii) 6,562 shares issuable upon exercise of stock options within 60 days of March 2, 2020.</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4,816 shares that may be acquired by Ms. Rangan upon the vesting of RSUs within 60 days of March 2, 2020.</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1,243 shares of common stock held directly by Mr. Sahai and (ii) 982 shares issuable upon exercise of stock options within 60 days of March 2, 2020.</w:t>
      </w:r>
    </w:p>
    <w:p>
      <w:pPr>
        <w:spacing w:after="0" w:line="109" w:lineRule="exact"/>
        <w:rPr>
          <w:rFonts w:ascii="Arial" w:cs="Arial" w:eastAsia="Arial" w:hAnsi="Arial"/>
          <w:sz w:val="14"/>
          <w:szCs w:val="14"/>
          <w:color w:val="auto"/>
        </w:rPr>
      </w:pPr>
    </w:p>
    <w:p>
      <w:pPr>
        <w:ind w:left="500" w:right="120" w:hanging="492"/>
        <w:spacing w:after="0" w:line="258"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1,596,481 shares of common stock held directly by Mr. Shah and (ii) 65,742 shares issuable upon exercise of stock options, and/or that may be acquired upon the vesting of RSUs, in each case, within 60 days of March 2, 2020.</w:t>
      </w:r>
    </w:p>
    <w:p>
      <w:pPr>
        <w:spacing w:after="0" w:line="85" w:lineRule="exact"/>
        <w:rPr>
          <w:rFonts w:ascii="Arial" w:cs="Arial" w:eastAsia="Arial" w:hAnsi="Arial"/>
          <w:sz w:val="14"/>
          <w:szCs w:val="14"/>
          <w:color w:val="auto"/>
        </w:rPr>
      </w:pPr>
    </w:p>
    <w:p>
      <w:pPr>
        <w:ind w:left="500" w:right="580" w:hanging="492"/>
        <w:spacing w:after="0" w:line="258"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47,876 shares of common stock held directly by Mr. Sherman and (ii) 326,841 shares issuable upon exercise of stock options, and/or that may be acquired upon the vesting of RSUs, in each case, within 60 days of March 2, 2020.</w:t>
      </w:r>
    </w:p>
    <w:p>
      <w:pPr>
        <w:spacing w:after="0" w:line="85" w:lineRule="exact"/>
        <w:rPr>
          <w:rFonts w:ascii="Arial" w:cs="Arial" w:eastAsia="Arial" w:hAnsi="Arial"/>
          <w:sz w:val="14"/>
          <w:szCs w:val="14"/>
          <w:color w:val="auto"/>
        </w:rPr>
      </w:pPr>
    </w:p>
    <w:p>
      <w:pPr>
        <w:ind w:left="500" w:right="280" w:hanging="492"/>
        <w:spacing w:after="0" w:line="258"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28,512 shares of common stock held directly by Mr. Simon, (ii) 5,000 shares held by the Simon Family Children’s Trust dtd 12/15/2006 and (iii) 74,046 shares issuable upon exercise of stock options within 60 days of March 2, 2020.</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3,788 shares of common stock held directly by Mr. Simons and (ii) 3,153 shares issuable upon exercise of stock options within 60 days of March 2, 2020.</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2,125 shares of common stock held directly by Ms. Ward and (ii) 1,775 shares issuable upon exercise of stock options within 60 days of March 2, 2020.</w:t>
      </w:r>
    </w:p>
    <w:p>
      <w:pPr>
        <w:spacing w:after="0" w:line="109" w:lineRule="exact"/>
        <w:rPr>
          <w:rFonts w:ascii="Arial" w:cs="Arial" w:eastAsia="Arial" w:hAnsi="Arial"/>
          <w:sz w:val="14"/>
          <w:szCs w:val="14"/>
          <w:color w:val="auto"/>
        </w:rPr>
      </w:pPr>
    </w:p>
    <w:p>
      <w:pPr>
        <w:ind w:left="500" w:right="160" w:hanging="492"/>
        <w:spacing w:after="0" w:line="249"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footnotes 3 through 16 above. Includes (i) 2,378,423 shares of common stock held directly or indirectly by the directors and executive officers and (ii) 914,010 shares issuable upon exercise of stock options, and/or that may be acquired upon the vesting of RSUs, in each case, within 60 days of March 2, 2020 for our directors and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our common stock, to file with the SEC initial reports of beneficial ownership and reports of changes in beneficial ownership. Officers, directors and greater than 10% stockholders are required by SEC regulations to furnish us with copies of all such reports.</w:t>
      </w:r>
    </w:p>
    <w:p>
      <w:pPr>
        <w:spacing w:after="0" w:line="20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To our knowledge, based solely on a review of the copies of such reports furnished to us and written representations that no other reports were required, we believe that for 2019, all required reports were filed on a timely basis under Section 16(a), except that each Section 16 officer had one late Form 4 transaction due to administrative oversight.</w:t>
      </w:r>
    </w:p>
    <w:p>
      <w:pPr>
        <w:spacing w:after="0" w:line="3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4" w:name="page25"/>
    <w:bookmarkEnd w:id="24"/>
    <w:p>
      <w:pPr>
        <w:spacing w:after="0"/>
        <w:rPr>
          <w:sz w:val="20"/>
          <w:szCs w:val="20"/>
          <w:color w:val="auto"/>
        </w:rPr>
      </w:pPr>
      <w:r>
        <w:rPr>
          <w:rFonts w:ascii="Arial" w:cs="Arial" w:eastAsia="Arial" w:hAnsi="Arial"/>
          <w:sz w:val="29"/>
          <w:szCs w:val="29"/>
          <w:b w:val="1"/>
          <w:bCs w:val="1"/>
          <w:color w:val="E36F1E"/>
        </w:rPr>
        <w:t>EXECUTIVE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This Compensation Discussion and Analysis describes how our executive compensation program is designed and operates with respect to our named executive officers. For 2019, our named executive officers were:</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17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8320" w:type="dxa"/>
            <w:vAlign w:val="bottom"/>
            <w:shd w:val="clear" w:color="auto" w:fill="E36F1E"/>
          </w:tcPr>
          <w:p>
            <w:pPr>
              <w:ind w:left="640"/>
              <w:spacing w:after="0"/>
              <w:rPr>
                <w:sz w:val="20"/>
                <w:szCs w:val="20"/>
                <w:color w:val="auto"/>
              </w:rPr>
            </w:pPr>
            <w:r>
              <w:rPr>
                <w:rFonts w:ascii="Arial" w:cs="Arial" w:eastAsia="Arial" w:hAnsi="Arial"/>
                <w:sz w:val="14"/>
                <w:szCs w:val="14"/>
                <w:b w:val="1"/>
                <w:bCs w:val="1"/>
                <w:color w:val="FFFFFF"/>
              </w:rPr>
              <w:t>Title</w:t>
            </w:r>
          </w:p>
        </w:tc>
      </w:tr>
      <w:tr>
        <w:trPr>
          <w:trHeight w:val="203"/>
        </w:trPr>
        <w:tc>
          <w:tcPr>
            <w:tcW w:w="1780" w:type="dxa"/>
            <w:vAlign w:val="bottom"/>
            <w:shd w:val="clear" w:color="auto" w:fill="D9D9D9"/>
          </w:tcPr>
          <w:p>
            <w:pPr>
              <w:spacing w:after="0"/>
              <w:rPr>
                <w:sz w:val="20"/>
                <w:szCs w:val="20"/>
                <w:color w:val="auto"/>
              </w:rPr>
            </w:pPr>
            <w:r>
              <w:rPr>
                <w:rFonts w:ascii="Arial" w:cs="Arial" w:eastAsia="Arial" w:hAnsi="Arial"/>
                <w:sz w:val="16"/>
                <w:szCs w:val="16"/>
                <w:color w:val="auto"/>
              </w:rPr>
              <w:t>Brian Halligan</w:t>
            </w:r>
          </w:p>
        </w:tc>
        <w:tc>
          <w:tcPr>
            <w:tcW w:w="8320" w:type="dxa"/>
            <w:vAlign w:val="bottom"/>
            <w:shd w:val="clear" w:color="auto" w:fill="D9D9D9"/>
          </w:tcPr>
          <w:p>
            <w:pPr>
              <w:ind w:left="640"/>
              <w:spacing w:after="0"/>
              <w:rPr>
                <w:sz w:val="20"/>
                <w:szCs w:val="20"/>
                <w:color w:val="auto"/>
              </w:rPr>
            </w:pPr>
            <w:r>
              <w:rPr>
                <w:rFonts w:ascii="Arial" w:cs="Arial" w:eastAsia="Arial" w:hAnsi="Arial"/>
                <w:sz w:val="16"/>
                <w:szCs w:val="16"/>
                <w:color w:val="auto"/>
              </w:rPr>
              <w:t>Chief Executive Officer</w:t>
            </w:r>
          </w:p>
        </w:tc>
      </w:tr>
      <w:tr>
        <w:trPr>
          <w:trHeight w:val="213"/>
        </w:trPr>
        <w:tc>
          <w:tcPr>
            <w:tcW w:w="1780" w:type="dxa"/>
            <w:vAlign w:val="bottom"/>
          </w:tcPr>
          <w:p>
            <w:pPr>
              <w:spacing w:after="0"/>
              <w:rPr>
                <w:sz w:val="20"/>
                <w:szCs w:val="20"/>
                <w:color w:val="auto"/>
              </w:rPr>
            </w:pPr>
            <w:r>
              <w:rPr>
                <w:rFonts w:ascii="Arial" w:cs="Arial" w:eastAsia="Arial" w:hAnsi="Arial"/>
                <w:sz w:val="16"/>
                <w:szCs w:val="16"/>
                <w:color w:val="auto"/>
              </w:rPr>
              <w:t>Kate Bueker</w:t>
            </w:r>
          </w:p>
        </w:tc>
        <w:tc>
          <w:tcPr>
            <w:tcW w:w="8320" w:type="dxa"/>
            <w:vAlign w:val="bottom"/>
          </w:tcPr>
          <w:p>
            <w:pPr>
              <w:ind w:left="640"/>
              <w:spacing w:after="0"/>
              <w:rPr>
                <w:sz w:val="20"/>
                <w:szCs w:val="20"/>
                <w:color w:val="auto"/>
              </w:rPr>
            </w:pPr>
            <w:r>
              <w:rPr>
                <w:rFonts w:ascii="Arial" w:cs="Arial" w:eastAsia="Arial" w:hAnsi="Arial"/>
                <w:sz w:val="16"/>
                <w:szCs w:val="16"/>
                <w:color w:val="auto"/>
              </w:rPr>
              <w:t>Chief Financial Officer</w:t>
            </w:r>
          </w:p>
        </w:tc>
      </w:tr>
      <w:tr>
        <w:trPr>
          <w:trHeight w:val="205"/>
        </w:trPr>
        <w:tc>
          <w:tcPr>
            <w:tcW w:w="1780" w:type="dxa"/>
            <w:vAlign w:val="bottom"/>
            <w:shd w:val="clear" w:color="auto" w:fill="D9D9D9"/>
          </w:tcPr>
          <w:p>
            <w:pPr>
              <w:spacing w:after="0"/>
              <w:rPr>
                <w:sz w:val="20"/>
                <w:szCs w:val="20"/>
                <w:color w:val="auto"/>
              </w:rPr>
            </w:pPr>
            <w:r>
              <w:rPr>
                <w:rFonts w:ascii="Arial" w:cs="Arial" w:eastAsia="Arial" w:hAnsi="Arial"/>
                <w:sz w:val="16"/>
                <w:szCs w:val="16"/>
                <w:color w:val="auto"/>
              </w:rPr>
              <w:t>JD Sherman</w:t>
            </w:r>
          </w:p>
        </w:tc>
        <w:tc>
          <w:tcPr>
            <w:tcW w:w="8320" w:type="dxa"/>
            <w:vAlign w:val="bottom"/>
            <w:shd w:val="clear" w:color="auto" w:fill="D9D9D9"/>
          </w:tcPr>
          <w:p>
            <w:pPr>
              <w:ind w:left="640"/>
              <w:spacing w:after="0"/>
              <w:rPr>
                <w:sz w:val="20"/>
                <w:szCs w:val="20"/>
                <w:color w:val="auto"/>
              </w:rPr>
            </w:pPr>
            <w:r>
              <w:rPr>
                <w:rFonts w:ascii="Arial" w:cs="Arial" w:eastAsia="Arial" w:hAnsi="Arial"/>
                <w:sz w:val="16"/>
                <w:szCs w:val="16"/>
                <w:color w:val="auto"/>
              </w:rPr>
              <w:t>President and Chief Operating Officer</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Hunter Madeley</w:t>
            </w:r>
          </w:p>
        </w:tc>
        <w:tc>
          <w:tcPr>
            <w:tcW w:w="8320" w:type="dxa"/>
            <w:vAlign w:val="bottom"/>
          </w:tcPr>
          <w:p>
            <w:pPr>
              <w:ind w:left="640"/>
              <w:spacing w:after="0"/>
              <w:rPr>
                <w:sz w:val="20"/>
                <w:szCs w:val="20"/>
                <w:color w:val="auto"/>
              </w:rPr>
            </w:pPr>
            <w:r>
              <w:rPr>
                <w:rFonts w:ascii="Arial" w:cs="Arial" w:eastAsia="Arial" w:hAnsi="Arial"/>
                <w:sz w:val="16"/>
                <w:szCs w:val="16"/>
                <w:color w:val="auto"/>
              </w:rPr>
              <w:t>Former Chief Sales Officer (until July 2, 2019)</w:t>
            </w:r>
          </w:p>
        </w:tc>
      </w:tr>
      <w:tr>
        <w:trPr>
          <w:trHeight w:val="203"/>
        </w:trPr>
        <w:tc>
          <w:tcPr>
            <w:tcW w:w="1780" w:type="dxa"/>
            <w:vAlign w:val="bottom"/>
            <w:shd w:val="clear" w:color="auto" w:fill="D9D9D9"/>
          </w:tcPr>
          <w:p>
            <w:pPr>
              <w:spacing w:after="0"/>
              <w:rPr>
                <w:sz w:val="20"/>
                <w:szCs w:val="20"/>
                <w:color w:val="auto"/>
              </w:rPr>
            </w:pPr>
            <w:r>
              <w:rPr>
                <w:rFonts w:ascii="Arial" w:cs="Arial" w:eastAsia="Arial" w:hAnsi="Arial"/>
                <w:sz w:val="16"/>
                <w:szCs w:val="16"/>
                <w:color w:val="auto"/>
              </w:rPr>
              <w:t>Dharmesh Shah</w:t>
            </w:r>
          </w:p>
        </w:tc>
        <w:tc>
          <w:tcPr>
            <w:tcW w:w="8320" w:type="dxa"/>
            <w:vAlign w:val="bottom"/>
            <w:shd w:val="clear" w:color="auto" w:fill="D9D9D9"/>
          </w:tcPr>
          <w:p>
            <w:pPr>
              <w:ind w:left="640"/>
              <w:spacing w:after="0"/>
              <w:rPr>
                <w:sz w:val="20"/>
                <w:szCs w:val="20"/>
                <w:color w:val="auto"/>
              </w:rPr>
            </w:pPr>
            <w:r>
              <w:rPr>
                <w:rFonts w:ascii="Arial" w:cs="Arial" w:eastAsia="Arial" w:hAnsi="Arial"/>
                <w:sz w:val="16"/>
                <w:szCs w:val="16"/>
                <w:color w:val="auto"/>
              </w:rPr>
              <w:t>Chief Technology Officer</w:t>
            </w:r>
          </w:p>
        </w:tc>
      </w:tr>
      <w:tr>
        <w:trPr>
          <w:trHeight w:val="203"/>
        </w:trPr>
        <w:tc>
          <w:tcPr>
            <w:tcW w:w="1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John Kelleher</w:t>
            </w:r>
          </w:p>
        </w:tc>
        <w:tc>
          <w:tcPr>
            <w:tcW w:w="83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General Counsel</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Business Overview and 2019 Performance Highlights</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HubSpot provides a cloud-based marketing, sales, and customer service software platform, which we refer to in this Compensation Discussion and Analysis as our Growth Platform, that enables businesses to grow better. At HubSpot, we are committed to helping our customers grow better, which means helping them grow without compromise, always solving for the customer, and creating a better experience for customers and company alike. To that end, our Growth Platform, comprised of Marketing Hub, Sales Hub, Service Hub, and a free customer relationship management (“CRM”) system, features integrated applications and tools that enable businesses to create a relevant and cohesive customer experience throughout the customer lifecycle.</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headquartered in Cambridge, Massachusetts and have international offices in Dublin, Ireland; Singapore; Sydney, Australia; Tokyo, Japan; Berlin, Germany; Bogotá, Colombia, Paris, France; and Ghent, Belgium. HubSpot has been named a top place to work by Glassdoor, Fortune, The Boston Globe, Comparably, and The Boston Business Journal. We consistently win workplace awards relating to our leadership team, our culture, our diversity and inclusion efforts, and our commitment to fostering a better workplace for women and parents.</w:t>
      </w:r>
    </w:p>
    <w:p>
      <w:pPr>
        <w:spacing w:after="0" w:line="20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2019, we focused on making meaningful improvements in the customer experience and also managed to deliver strong growth and financial performance, including:</w:t>
      </w:r>
    </w:p>
    <w:p>
      <w:pPr>
        <w:spacing w:after="0" w:line="6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E36F1E"/>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Our full-year 2019 revenue grew 32% to $674.9 million.</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18"/>
        </w:numPr>
        <w:rPr>
          <w:rFonts w:ascii="Arial" w:cs="Arial" w:eastAsia="Arial" w:hAnsi="Arial"/>
          <w:sz w:val="18"/>
          <w:szCs w:val="18"/>
          <w:color w:val="E36F1E"/>
        </w:rPr>
      </w:pPr>
      <w:r>
        <w:rPr>
          <w:rFonts w:ascii="Arial" w:cs="Arial" w:eastAsia="Arial" w:hAnsi="Arial"/>
          <w:sz w:val="18"/>
          <w:szCs w:val="18"/>
          <w:b w:val="1"/>
          <w:bCs w:val="1"/>
          <w:i w:val="1"/>
          <w:iCs w:val="1"/>
          <w:color w:val="auto"/>
        </w:rPr>
        <w:t xml:space="preserve">Operating Margin. </w:t>
      </w:r>
      <w:r>
        <w:rPr>
          <w:rFonts w:ascii="Arial" w:cs="Arial" w:eastAsia="Arial" w:hAnsi="Arial"/>
          <w:sz w:val="18"/>
          <w:szCs w:val="18"/>
          <w:color w:val="auto"/>
        </w:rPr>
        <w:t>In 2019, we experienced a 1.4 percentage point improvement in GAAP operating margin to (7.0)% and a</w:t>
      </w:r>
    </w:p>
    <w:p>
      <w:pPr>
        <w:spacing w:after="0" w:line="17" w:lineRule="exact"/>
        <w:rPr>
          <w:rFonts w:ascii="Arial" w:cs="Arial" w:eastAsia="Arial" w:hAnsi="Arial"/>
          <w:sz w:val="18"/>
          <w:szCs w:val="18"/>
          <w:color w:val="E36F1E"/>
        </w:rPr>
      </w:pPr>
    </w:p>
    <w:p>
      <w:pPr>
        <w:ind w:left="1000" w:right="80"/>
        <w:spacing w:after="0"/>
        <w:rPr>
          <w:rFonts w:ascii="Arial" w:cs="Arial" w:eastAsia="Arial" w:hAnsi="Arial"/>
          <w:sz w:val="18"/>
          <w:szCs w:val="18"/>
          <w:color w:val="E36F1E"/>
        </w:rPr>
      </w:pPr>
      <w:r>
        <w:rPr>
          <w:rFonts w:ascii="Arial" w:cs="Arial" w:eastAsia="Arial" w:hAnsi="Arial"/>
          <w:sz w:val="18"/>
          <w:szCs w:val="18"/>
          <w:color w:val="auto"/>
        </w:rPr>
        <w:t>1.8 percentage point improvement in non-GAAP operating margin to 8.1%. Non-GAAP operating margin is the ratio of the non-GAAP operating loss for a period (which excludes stock-based compensation expense, the amortization of acquired intangibles, and acquisition-related expenses) to our revenue for the period.</w:t>
      </w:r>
    </w:p>
    <w:p>
      <w:pPr>
        <w:spacing w:after="0" w:line="72" w:lineRule="exact"/>
        <w:rPr>
          <w:rFonts w:ascii="Arial" w:cs="Arial" w:eastAsia="Arial" w:hAnsi="Arial"/>
          <w:sz w:val="18"/>
          <w:szCs w:val="18"/>
          <w:color w:val="E36F1E"/>
        </w:rPr>
      </w:pPr>
    </w:p>
    <w:p>
      <w:pPr>
        <w:ind w:left="1000" w:hanging="493"/>
        <w:spacing w:after="0"/>
        <w:tabs>
          <w:tab w:leader="none" w:pos="1000" w:val="left"/>
        </w:tabs>
        <w:numPr>
          <w:ilvl w:val="0"/>
          <w:numId w:val="18"/>
        </w:numPr>
        <w:rPr>
          <w:rFonts w:ascii="Arial" w:cs="Arial" w:eastAsia="Arial" w:hAnsi="Arial"/>
          <w:sz w:val="18"/>
          <w:szCs w:val="18"/>
          <w:color w:val="E36F1E"/>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We generated $65.1 million of free cash flow in 2019 compared to $51.4 million in 2018.</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18"/>
        </w:numPr>
        <w:rPr>
          <w:rFonts w:ascii="Arial" w:cs="Arial" w:eastAsia="Arial" w:hAnsi="Arial"/>
          <w:sz w:val="18"/>
          <w:szCs w:val="18"/>
          <w:color w:val="E36F1E"/>
        </w:rPr>
      </w:pPr>
      <w:r>
        <w:rPr>
          <w:rFonts w:ascii="Arial" w:cs="Arial" w:eastAsia="Arial" w:hAnsi="Arial"/>
          <w:sz w:val="18"/>
          <w:szCs w:val="18"/>
          <w:b w:val="1"/>
          <w:bCs w:val="1"/>
          <w:i w:val="1"/>
          <w:iCs w:val="1"/>
          <w:color w:val="auto"/>
        </w:rPr>
        <w:t xml:space="preserve">Total Customers. </w:t>
      </w:r>
      <w:r>
        <w:rPr>
          <w:rFonts w:ascii="Arial" w:cs="Arial" w:eastAsia="Arial" w:hAnsi="Arial"/>
          <w:sz w:val="18"/>
          <w:szCs w:val="18"/>
          <w:color w:val="auto"/>
        </w:rPr>
        <w:t>We grew total customers to 74,483 total customers at December 31, 2019, up 30%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174625</wp:posOffset>
            </wp:positionV>
            <wp:extent cx="6377940" cy="1697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779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E36C0A"/>
        </w:rPr>
        <w:t>Year of the Customer</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2019 was the year of the customer at HubSpot. One of our key principles as a company is to aim to do the right thing, even when it is hard. In an effort to improve our customers’ experience across the HubSpot platform, we invested heavily in our products this year with an emphasis on infrastructure, security, speed, usability, and reliability. In the fourth quarter of 2019, we had revenue retention above 100% and achieved record high net promoter scores from our customers.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Also during 2019, we made great progress in making HubSpot the center of our customers’ flywheel:</w:t>
      </w:r>
    </w:p>
    <w:p>
      <w:pPr>
        <w:spacing w:after="0" w:line="104" w:lineRule="exact"/>
        <w:rPr>
          <w:sz w:val="20"/>
          <w:szCs w:val="20"/>
          <w:color w:val="auto"/>
        </w:rPr>
      </w:pPr>
    </w:p>
    <w:p>
      <w:pPr>
        <w:ind w:left="1000" w:right="140" w:hanging="493"/>
        <w:spacing w:after="0" w:line="246" w:lineRule="auto"/>
        <w:tabs>
          <w:tab w:leader="none" w:pos="1000" w:val="left"/>
        </w:tabs>
        <w:numPr>
          <w:ilvl w:val="0"/>
          <w:numId w:val="19"/>
        </w:numPr>
        <w:rPr>
          <w:rFonts w:ascii="Arial" w:cs="Arial" w:eastAsia="Arial" w:hAnsi="Arial"/>
          <w:sz w:val="18"/>
          <w:szCs w:val="18"/>
          <w:color w:val="E36F1E"/>
        </w:rPr>
      </w:pPr>
      <w:r>
        <w:rPr>
          <w:rFonts w:ascii="Arial" w:cs="Arial" w:eastAsia="Arial" w:hAnsi="Arial"/>
          <w:sz w:val="18"/>
          <w:szCs w:val="18"/>
          <w:color w:val="auto"/>
        </w:rPr>
        <w:t>Expanded the HubSpot App Partner Program, an ecosystem of certified non-HubSpot tools that complement and integrate with HubSpot, with over one million total software integrations installed as of the end of the fourth quarter.</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19"/>
        </w:numPr>
        <w:rPr>
          <w:rFonts w:ascii="Arial" w:cs="Arial" w:eastAsia="Arial" w:hAnsi="Arial"/>
          <w:sz w:val="18"/>
          <w:szCs w:val="18"/>
          <w:color w:val="E36F1E"/>
        </w:rPr>
      </w:pPr>
      <w:r>
        <w:rPr>
          <w:rFonts w:ascii="Arial" w:cs="Arial" w:eastAsia="Arial" w:hAnsi="Arial"/>
          <w:sz w:val="18"/>
          <w:szCs w:val="18"/>
          <w:color w:val="auto"/>
        </w:rPr>
        <w:t>Acquired PieSync NV, a Belgian company that offers real-time intelligent customer data synchronization between applications.</w:t>
      </w:r>
    </w:p>
    <w:p>
      <w:pPr>
        <w:spacing w:after="0" w:line="117" w:lineRule="exact"/>
        <w:rPr>
          <w:rFonts w:ascii="Arial" w:cs="Arial" w:eastAsia="Arial" w:hAnsi="Arial"/>
          <w:sz w:val="18"/>
          <w:szCs w:val="18"/>
          <w:color w:val="E36F1E"/>
        </w:rPr>
      </w:pPr>
    </w:p>
    <w:p>
      <w:pPr>
        <w:ind w:left="1000" w:right="140" w:hanging="493"/>
        <w:spacing w:after="0" w:line="246" w:lineRule="auto"/>
        <w:tabs>
          <w:tab w:leader="none" w:pos="1000" w:val="left"/>
        </w:tabs>
        <w:numPr>
          <w:ilvl w:val="0"/>
          <w:numId w:val="19"/>
        </w:numPr>
        <w:rPr>
          <w:rFonts w:ascii="Arial" w:cs="Arial" w:eastAsia="Arial" w:hAnsi="Arial"/>
          <w:sz w:val="18"/>
          <w:szCs w:val="18"/>
          <w:color w:val="E36F1E"/>
        </w:rPr>
      </w:pPr>
      <w:r>
        <w:rPr>
          <w:rFonts w:ascii="Arial" w:cs="Arial" w:eastAsia="Arial" w:hAnsi="Arial"/>
          <w:sz w:val="18"/>
          <w:szCs w:val="18"/>
          <w:color w:val="auto"/>
        </w:rPr>
        <w:t>Relaunched our Agency Partner Program into a new Solutions Partner Program, which enables us to attract a more diverse set of partners to help our customers grow better beyond marketing into sales and service.</w:t>
      </w:r>
    </w:p>
    <w:p>
      <w:pPr>
        <w:spacing w:after="0" w:line="197"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In December 2019, we announced the hiring of our first-ever Chief Customer Officer, Yamini Rangan, who joined us in January 2020. In her new role, Ms. Rangan will unite the marketing, sales, and services teams around the customer, creating a cohesive experience to help fulfill our mission of helping millions of companies grow better.</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described in detail below under the heading “Performance-Based Cash Bonuses,” in recognition of 2019 being the year of the customer and the Company’s effort and success in solving for the customer, our Compensation Committee approved a bonus multiplier with respect to the final achievement of the performance measures for the second half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Return to Stockholders</w:t>
      </w:r>
    </w:p>
    <w:p>
      <w:pPr>
        <w:spacing w:after="0" w:line="126"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We have delivered significant long-term total stockholder return (“TSR”), as evidenced by the chart below, which shows how a $100 investment in HubSpot on October 9, 2014 (the date our common stock commenced trading on the NYSE) would have grown to $527 on December 31, 2019. The chart also compares TSR on an investment in our common stock to the same investment in the S&amp;P 500 Index and the Nasdaq Computer Index over the last five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130810</wp:posOffset>
            </wp:positionV>
            <wp:extent cx="5340350" cy="33604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035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jc w:val="both"/>
        <w:ind w:right="260"/>
        <w:spacing w:after="0"/>
        <w:rPr>
          <w:sz w:val="20"/>
          <w:szCs w:val="20"/>
          <w:color w:val="auto"/>
        </w:rPr>
      </w:pPr>
      <w:r>
        <w:rPr>
          <w:rFonts w:ascii="Arial" w:cs="Arial" w:eastAsia="Arial" w:hAnsi="Arial"/>
          <w:sz w:val="18"/>
          <w:szCs w:val="18"/>
          <w:color w:val="auto"/>
        </w:rPr>
        <w:t>As evidenced by the table above, our stock price has been consistently strong since we went public in 2014. The stock price for our initial public offering on October 9, 2014 was $25.00 per share. Our closing stock price on April 20, 2020 was $142.41 per share, approximately 5.7 times our stock price at our initial public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Stockholder Engagement</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welcome and value the views and insights of our stockholders and conduct regular outreach to connect with our stockholders to ensure open lines of communication. Our investor relations team, along with our CEO, COO, and CFO, regularly meet with stockholders to better understand their perspective on a wide range of strategy and business issues. In addition, on an annual basis we reach out to our largest stockholders to solicit their perspectives and discuss our governance and executive compensation policies and practices with the goal of using their feedback to inform our governance and executive compensation decisions. In 2019, we reached out via e-mail to eleven of our top institutional stockholders and ultimately held meetings with five stockholders representing over 20% of our outstanding common stock at the time of such meetings. These meetings covered a wide range of topics, including: corporate governance practices; board structure and composition; executive compensation policies and practices; and corporate social responsibility practices.</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feedback we receive from our stockholders through these activities is regularly communicated to the Nominating and Corporate Governance Committee and Compensation Committee. After careful review, our Nominating and Corporate Governance Committee and Compensation Committee recommend to the Board whether enhancements to our company’s policies and practices are required to respond to stockholder concerns or expectations relating to new issues or emerging trends.</w:t>
      </w:r>
    </w:p>
    <w:p>
      <w:pPr>
        <w:spacing w:after="0" w:line="20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Below is a summary of the changes we have made to our policies and practices in response to stockholder feedback we have received through our stockholder engagement program:</w:t>
      </w:r>
    </w:p>
    <w:p>
      <w:pPr>
        <w:spacing w:after="0" w:line="89" w:lineRule="exact"/>
        <w:rPr>
          <w:sz w:val="20"/>
          <w:szCs w:val="20"/>
          <w:color w:val="auto"/>
        </w:rPr>
      </w:pPr>
    </w:p>
    <w:p>
      <w:pPr>
        <w:ind w:left="740" w:right="560" w:hanging="368"/>
        <w:spacing w:after="0" w:line="246"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April 2018, the Board unanimously approved a further amendment and restatement of the Company’s by-laws to institute a majority voting standard.</w:t>
      </w:r>
    </w:p>
    <w:p>
      <w:pPr>
        <w:spacing w:after="0" w:line="88" w:lineRule="exact"/>
        <w:rPr>
          <w:rFonts w:ascii="Arial" w:cs="Arial" w:eastAsia="Arial" w:hAnsi="Arial"/>
          <w:sz w:val="18"/>
          <w:szCs w:val="18"/>
          <w:color w:val="auto"/>
        </w:rPr>
      </w:pPr>
    </w:p>
    <w:p>
      <w:pPr>
        <w:ind w:left="740" w:right="60" w:hanging="368"/>
        <w:spacing w:after="0" w:line="246"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December 2019, the Board approved an amendment to the Nominating and Corporate Governance Committee charter to include the review and oversight by the committee over corporate social responsibility matters.</w:t>
      </w:r>
    </w:p>
    <w:p>
      <w:pPr>
        <w:spacing w:after="0" w:line="19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believe it is important to continue to engage with our stockholders on a regular basis to understand their perspectives and to give them a voice in shaping our governance and executive compensation policies and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2019 Executive Compensation Program Highlights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2019 executive compensation program include:</w:t>
      </w:r>
    </w:p>
    <w:p>
      <w:pPr>
        <w:spacing w:after="0" w:line="104" w:lineRule="exact"/>
        <w:rPr>
          <w:sz w:val="20"/>
          <w:szCs w:val="20"/>
          <w:color w:val="auto"/>
        </w:rPr>
      </w:pPr>
    </w:p>
    <w:p>
      <w:pPr>
        <w:ind w:left="1000" w:right="120" w:hanging="493"/>
        <w:spacing w:after="0" w:line="246" w:lineRule="auto"/>
        <w:tabs>
          <w:tab w:leader="none" w:pos="1000" w:val="left"/>
        </w:tabs>
        <w:numPr>
          <w:ilvl w:val="0"/>
          <w:numId w:val="21"/>
        </w:numPr>
        <w:rPr>
          <w:rFonts w:ascii="Arial" w:cs="Arial" w:eastAsia="Arial" w:hAnsi="Arial"/>
          <w:sz w:val="18"/>
          <w:szCs w:val="18"/>
          <w:color w:val="E36F1E"/>
        </w:rPr>
      </w:pPr>
      <w:r>
        <w:rPr>
          <w:rFonts w:ascii="Arial" w:cs="Arial" w:eastAsia="Arial" w:hAnsi="Arial"/>
          <w:sz w:val="18"/>
          <w:szCs w:val="18"/>
          <w:color w:val="auto"/>
        </w:rPr>
        <w:t>Voluntary request by our co-founders, Messrs. Halligan and Shah, to maintain their respective base salaries at $1 and to forego any annual cash bonus.</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21"/>
        </w:numPr>
        <w:rPr>
          <w:rFonts w:ascii="Arial" w:cs="Arial" w:eastAsia="Arial" w:hAnsi="Arial"/>
          <w:sz w:val="18"/>
          <w:szCs w:val="18"/>
          <w:color w:val="E36F1E"/>
        </w:rPr>
      </w:pPr>
      <w:r>
        <w:rPr>
          <w:rFonts w:ascii="Arial" w:cs="Arial" w:eastAsia="Arial" w:hAnsi="Arial"/>
          <w:sz w:val="18"/>
          <w:szCs w:val="18"/>
          <w:color w:val="auto"/>
        </w:rPr>
        <w:t>Voluntary request by Mr. Halligan to reduce the approved value of his equity award for 2019 from $3,750,000 to $3,597,030.</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21"/>
        </w:numPr>
        <w:rPr>
          <w:rFonts w:ascii="Arial" w:cs="Arial" w:eastAsia="Arial" w:hAnsi="Arial"/>
          <w:sz w:val="18"/>
          <w:szCs w:val="18"/>
          <w:color w:val="E36F1E"/>
        </w:rPr>
      </w:pPr>
      <w:r>
        <w:rPr>
          <w:rFonts w:ascii="Arial" w:cs="Arial" w:eastAsia="Arial" w:hAnsi="Arial"/>
          <w:sz w:val="18"/>
          <w:szCs w:val="18"/>
          <w:color w:val="auto"/>
        </w:rPr>
        <w:t>No change to target cash bonus levels for our named executive officers.</w:t>
      </w:r>
    </w:p>
    <w:p>
      <w:pPr>
        <w:spacing w:after="0" w:line="117" w:lineRule="exact"/>
        <w:rPr>
          <w:rFonts w:ascii="Arial" w:cs="Arial" w:eastAsia="Arial" w:hAnsi="Arial"/>
          <w:sz w:val="18"/>
          <w:szCs w:val="18"/>
          <w:color w:val="E36F1E"/>
        </w:rPr>
      </w:pPr>
    </w:p>
    <w:p>
      <w:pPr>
        <w:ind w:left="1000" w:right="160" w:hanging="493"/>
        <w:spacing w:after="0" w:line="246" w:lineRule="auto"/>
        <w:tabs>
          <w:tab w:leader="none" w:pos="1000" w:val="left"/>
        </w:tabs>
        <w:numPr>
          <w:ilvl w:val="0"/>
          <w:numId w:val="21"/>
        </w:numPr>
        <w:rPr>
          <w:rFonts w:ascii="Arial" w:cs="Arial" w:eastAsia="Arial" w:hAnsi="Arial"/>
          <w:sz w:val="18"/>
          <w:szCs w:val="18"/>
          <w:color w:val="E36F1E"/>
        </w:rPr>
      </w:pPr>
      <w:r>
        <w:rPr>
          <w:rFonts w:ascii="Arial" w:cs="Arial" w:eastAsia="Arial" w:hAnsi="Arial"/>
          <w:sz w:val="18"/>
          <w:szCs w:val="18"/>
          <w:color w:val="auto"/>
        </w:rPr>
        <w:t>Robust stock ownership guidelines that require the CEO to own and hold shares of our common stock valued at six times base salary.</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21"/>
        </w:numPr>
        <w:rPr>
          <w:rFonts w:ascii="Arial" w:cs="Arial" w:eastAsia="Arial" w:hAnsi="Arial"/>
          <w:sz w:val="18"/>
          <w:szCs w:val="18"/>
          <w:color w:val="E36F1E"/>
        </w:rPr>
      </w:pPr>
      <w:r>
        <w:rPr>
          <w:rFonts w:ascii="Arial" w:cs="Arial" w:eastAsia="Arial" w:hAnsi="Arial"/>
          <w:sz w:val="18"/>
          <w:szCs w:val="18"/>
          <w:color w:val="auto"/>
        </w:rPr>
        <w:t>Quarterly vesting for our restricted stock unit awards for executive officers and employees.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Compensation Committee designs our executive compensation program with the goal of attracting, motivating, rewarding, and retaining high-caliber executive officers, while simultaneously promoting the achievement of key company performance measures to align the incentives of our executive officers with our stockholders’ interests. We compete with many other public and private companies within our region and across the country for executives. Accordingly, the Compensation Committee generally targets overall compensation for our executive officers to be competitive in our industry and region. Variations in this target compensation may occur depending on the experience level of the individual and other market factors, such as the demand for executives with certain skills and experience and the costs associated with recruiting qualified executives from other established companies. We intend to provide a competitive total compensation package and believe in sharing our success with our executive officers, as well as our other employees, when our objectives are met.</w:t>
      </w:r>
    </w:p>
    <w:p>
      <w:pPr>
        <w:spacing w:after="0" w:line="172" w:lineRule="exact"/>
        <w:rPr>
          <w:sz w:val="20"/>
          <w:szCs w:val="20"/>
          <w:color w:val="auto"/>
        </w:rPr>
      </w:pPr>
    </w:p>
    <w:p>
      <w:pPr>
        <w:ind w:left="7460"/>
        <w:spacing w:after="0"/>
        <w:tabs>
          <w:tab w:leader="none" w:pos="1102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We endeavor to maintain strong executive compensation policies and practices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142240</wp:posOffset>
            </wp:positionV>
            <wp:extent cx="6858000"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00" cy="111760"/>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p>
      <w:pPr>
        <w:spacing w:after="0" w:line="224"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FFFFFF"/>
        </w:rPr>
        <w:t>What We Do</w:t>
      </w:r>
    </w:p>
    <w:p>
      <w:pPr>
        <w:ind w:left="420" w:hanging="196"/>
        <w:spacing w:after="0" w:line="237"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Maintain a compensation clawback policy</w:t>
      </w:r>
    </w:p>
    <w:p>
      <w:pPr>
        <w:spacing w:after="0" w:line="165" w:lineRule="exact"/>
        <w:rPr>
          <w:rFonts w:ascii="Arial" w:cs="Arial" w:eastAsia="Arial" w:hAnsi="Arial"/>
          <w:sz w:val="18"/>
          <w:szCs w:val="18"/>
          <w:b w:val="1"/>
          <w:bCs w:val="1"/>
          <w:color w:val="E36F1E"/>
        </w:rPr>
      </w:pPr>
    </w:p>
    <w:p>
      <w:pPr>
        <w:ind w:left="420" w:right="40" w:hanging="196"/>
        <w:spacing w:after="0" w:line="217"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Maintain stock ownership guidelines for executive officers and non-employee directors</w:t>
      </w:r>
    </w:p>
    <w:p>
      <w:pPr>
        <w:spacing w:after="0" w:line="1" w:lineRule="exact"/>
        <w:rPr>
          <w:rFonts w:ascii="Arial" w:cs="Arial" w:eastAsia="Arial" w:hAnsi="Arial"/>
          <w:sz w:val="18"/>
          <w:szCs w:val="18"/>
          <w:b w:val="1"/>
          <w:bCs w:val="1"/>
          <w:color w:val="E36F1E"/>
        </w:rPr>
      </w:pPr>
    </w:p>
    <w:p>
      <w:pPr>
        <w:ind w:left="420" w:hanging="196"/>
        <w:spacing w:after="0" w:line="203"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Provide limited perquisites</w:t>
      </w:r>
    </w:p>
    <w:p>
      <w:pPr>
        <w:spacing w:after="0" w:line="165" w:lineRule="exact"/>
        <w:rPr>
          <w:rFonts w:ascii="Arial" w:cs="Arial" w:eastAsia="Arial" w:hAnsi="Arial"/>
          <w:sz w:val="18"/>
          <w:szCs w:val="18"/>
          <w:b w:val="1"/>
          <w:bCs w:val="1"/>
          <w:color w:val="E36F1E"/>
        </w:rPr>
      </w:pPr>
    </w:p>
    <w:p>
      <w:pPr>
        <w:ind w:left="420" w:hanging="196"/>
        <w:spacing w:after="0" w:line="217"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Use “double-trigger” change in control provisions for equity awards; otherwise no change in control payments or benefits for executive officers</w:t>
      </w:r>
    </w:p>
    <w:p>
      <w:pPr>
        <w:spacing w:after="0" w:line="4" w:lineRule="exact"/>
        <w:rPr>
          <w:rFonts w:ascii="Arial" w:cs="Arial" w:eastAsia="Arial" w:hAnsi="Arial"/>
          <w:sz w:val="18"/>
          <w:szCs w:val="18"/>
          <w:b w:val="1"/>
          <w:bCs w:val="1"/>
          <w:color w:val="E36F1E"/>
        </w:rPr>
      </w:pPr>
    </w:p>
    <w:p>
      <w:pPr>
        <w:ind w:left="420" w:right="20" w:hanging="196"/>
        <w:spacing w:after="0" w:line="217"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Use an independent compensation consultant that provides no other services to HubSpot</w:t>
      </w:r>
    </w:p>
    <w:p>
      <w:pPr>
        <w:spacing w:after="0" w:line="1" w:lineRule="exact"/>
        <w:rPr>
          <w:rFonts w:ascii="Arial" w:cs="Arial" w:eastAsia="Arial" w:hAnsi="Arial"/>
          <w:sz w:val="18"/>
          <w:szCs w:val="18"/>
          <w:b w:val="1"/>
          <w:bCs w:val="1"/>
          <w:color w:val="E36F1E"/>
        </w:rPr>
      </w:pPr>
    </w:p>
    <w:p>
      <w:pPr>
        <w:ind w:left="420" w:hanging="196"/>
        <w:spacing w:after="0" w:line="203"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Cap annual cash bonus payments</w:t>
      </w:r>
    </w:p>
    <w:p>
      <w:pPr>
        <w:spacing w:after="0" w:line="25" w:lineRule="exact"/>
        <w:rPr>
          <w:rFonts w:ascii="Arial" w:cs="Arial" w:eastAsia="Arial" w:hAnsi="Arial"/>
          <w:sz w:val="18"/>
          <w:szCs w:val="18"/>
          <w:b w:val="1"/>
          <w:bCs w:val="1"/>
          <w:color w:val="E36F1E"/>
        </w:rPr>
      </w:pPr>
    </w:p>
    <w:p>
      <w:pPr>
        <w:ind w:left="420" w:hanging="196"/>
        <w:spacing w:after="0" w:line="205"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Use objective performance measures for annual cash bonus program</w:t>
      </w:r>
    </w:p>
    <w:p>
      <w:pPr>
        <w:spacing w:after="0" w:line="25" w:lineRule="exact"/>
        <w:rPr>
          <w:rFonts w:ascii="Arial" w:cs="Arial" w:eastAsia="Arial" w:hAnsi="Arial"/>
          <w:sz w:val="18"/>
          <w:szCs w:val="18"/>
          <w:b w:val="1"/>
          <w:bCs w:val="1"/>
          <w:color w:val="E36F1E"/>
        </w:rPr>
      </w:pPr>
    </w:p>
    <w:p>
      <w:pPr>
        <w:ind w:left="420" w:hanging="196"/>
        <w:spacing w:after="0" w:line="205"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Annual stockholder advisory vote on named executive officer compensation</w:t>
      </w:r>
    </w:p>
    <w:p>
      <w:pPr>
        <w:spacing w:after="0" w:line="30" w:lineRule="exact"/>
        <w:rPr>
          <w:rFonts w:ascii="Arial" w:cs="Arial" w:eastAsia="Arial" w:hAnsi="Arial"/>
          <w:sz w:val="18"/>
          <w:szCs w:val="18"/>
          <w:b w:val="1"/>
          <w:bCs w:val="1"/>
          <w:color w:val="E36F1E"/>
        </w:rPr>
      </w:pPr>
    </w:p>
    <w:p>
      <w:pPr>
        <w:ind w:left="420" w:right="40" w:hanging="196"/>
        <w:spacing w:after="0" w:line="217" w:lineRule="auto"/>
        <w:tabs>
          <w:tab w:leader="none" w:pos="420" w:val="left"/>
        </w:tabs>
        <w:numPr>
          <w:ilvl w:val="0"/>
          <w:numId w:val="22"/>
        </w:numPr>
        <w:rPr>
          <w:rFonts w:ascii="Arial" w:cs="Arial" w:eastAsia="Arial" w:hAnsi="Arial"/>
          <w:sz w:val="18"/>
          <w:szCs w:val="18"/>
          <w:b w:val="1"/>
          <w:bCs w:val="1"/>
          <w:color w:val="E36F1E"/>
        </w:rPr>
      </w:pPr>
      <w:r>
        <w:rPr>
          <w:rFonts w:ascii="Arial" w:cs="Arial" w:eastAsia="Arial" w:hAnsi="Arial"/>
          <w:sz w:val="14"/>
          <w:szCs w:val="14"/>
          <w:color w:val="auto"/>
        </w:rPr>
        <w:t>Regular reviews of executive compensation program and compensation peer group data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8890</wp:posOffset>
            </wp:positionV>
            <wp:extent cx="685800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00" cy="214630"/>
                    </a:xfrm>
                    <a:prstGeom prst="rect">
                      <a:avLst/>
                    </a:prstGeom>
                    <a:noFill/>
                  </pic:spPr>
                </pic:pic>
              </a:graphicData>
            </a:graphic>
          </wp:anchor>
        </w:drawing>
      </w:r>
    </w:p>
    <w:p>
      <w:pPr>
        <w:spacing w:after="0" w:line="13" w:lineRule="exact"/>
        <w:rPr>
          <w:sz w:val="20"/>
          <w:szCs w:val="20"/>
          <w:color w:val="auto"/>
        </w:rPr>
      </w:pPr>
    </w:p>
    <w:p>
      <w:pPr>
        <w:ind w:left="257" w:right="520" w:hanging="257"/>
        <w:spacing w:after="0" w:line="249" w:lineRule="auto"/>
        <w:tabs>
          <w:tab w:leader="none" w:pos="257" w:val="left"/>
        </w:tabs>
        <w:numPr>
          <w:ilvl w:val="0"/>
          <w:numId w:val="23"/>
        </w:numPr>
        <w:rPr>
          <w:rFonts w:ascii="Arial" w:cs="Arial" w:eastAsia="Arial" w:hAnsi="Arial"/>
          <w:sz w:val="14"/>
          <w:szCs w:val="14"/>
          <w:color w:val="E36C0A"/>
        </w:rPr>
      </w:pPr>
      <w:r>
        <w:rPr>
          <w:rFonts w:ascii="Arial" w:cs="Arial" w:eastAsia="Arial" w:hAnsi="Arial"/>
          <w:sz w:val="14"/>
          <w:szCs w:val="14"/>
          <w:color w:val="auto"/>
        </w:rPr>
        <w:t>No employment agreements or cash severance arrangements with executive officers</w:t>
      </w:r>
    </w:p>
    <w:p>
      <w:pPr>
        <w:spacing w:after="0" w:line="3" w:lineRule="exact"/>
        <w:rPr>
          <w:rFonts w:ascii="Arial" w:cs="Arial" w:eastAsia="Arial" w:hAnsi="Arial"/>
          <w:sz w:val="14"/>
          <w:szCs w:val="14"/>
          <w:color w:val="E36C0A"/>
        </w:rPr>
      </w:pPr>
    </w:p>
    <w:p>
      <w:pPr>
        <w:ind w:left="257" w:hanging="257"/>
        <w:spacing w:after="0"/>
        <w:tabs>
          <w:tab w:leader="none" w:pos="257" w:val="left"/>
        </w:tabs>
        <w:numPr>
          <w:ilvl w:val="0"/>
          <w:numId w:val="23"/>
        </w:numPr>
        <w:rPr>
          <w:rFonts w:ascii="Arial" w:cs="Arial" w:eastAsia="Arial" w:hAnsi="Arial"/>
          <w:sz w:val="14"/>
          <w:szCs w:val="14"/>
          <w:color w:val="E36C0A"/>
        </w:rPr>
      </w:pPr>
      <w:r>
        <w:rPr>
          <w:rFonts w:ascii="Arial" w:cs="Arial" w:eastAsia="Arial" w:hAnsi="Arial"/>
          <w:sz w:val="14"/>
          <w:szCs w:val="14"/>
          <w:color w:val="auto"/>
        </w:rPr>
        <w:t>No repricing of underwater stock options</w:t>
      </w:r>
    </w:p>
    <w:p>
      <w:pPr>
        <w:spacing w:after="0" w:line="176" w:lineRule="exact"/>
        <w:rPr>
          <w:rFonts w:ascii="Arial" w:cs="Arial" w:eastAsia="Arial" w:hAnsi="Arial"/>
          <w:sz w:val="14"/>
          <w:szCs w:val="14"/>
          <w:color w:val="E36C0A"/>
        </w:rPr>
      </w:pPr>
    </w:p>
    <w:p>
      <w:pPr>
        <w:ind w:left="257" w:right="480" w:hanging="257"/>
        <w:spacing w:after="0" w:line="249" w:lineRule="auto"/>
        <w:tabs>
          <w:tab w:leader="none" w:pos="257" w:val="left"/>
        </w:tabs>
        <w:numPr>
          <w:ilvl w:val="0"/>
          <w:numId w:val="23"/>
        </w:numPr>
        <w:rPr>
          <w:rFonts w:ascii="Arial" w:cs="Arial" w:eastAsia="Arial" w:hAnsi="Arial"/>
          <w:sz w:val="14"/>
          <w:szCs w:val="14"/>
          <w:color w:val="E36C0A"/>
        </w:rPr>
      </w:pPr>
      <w:r>
        <w:rPr>
          <w:rFonts w:ascii="Arial" w:cs="Arial" w:eastAsia="Arial" w:hAnsi="Arial"/>
          <w:sz w:val="14"/>
          <w:szCs w:val="14"/>
          <w:color w:val="auto"/>
        </w:rPr>
        <w:t>No hedging and pledging of HubSpot common stock by employees, executive officers, or Board members</w:t>
      </w:r>
    </w:p>
    <w:p>
      <w:pPr>
        <w:spacing w:after="0" w:line="3" w:lineRule="exact"/>
        <w:rPr>
          <w:rFonts w:ascii="Arial" w:cs="Arial" w:eastAsia="Arial" w:hAnsi="Arial"/>
          <w:sz w:val="14"/>
          <w:szCs w:val="14"/>
          <w:color w:val="E36C0A"/>
        </w:rPr>
      </w:pPr>
    </w:p>
    <w:p>
      <w:pPr>
        <w:ind w:left="257" w:hanging="257"/>
        <w:spacing w:after="0"/>
        <w:tabs>
          <w:tab w:leader="none" w:pos="257" w:val="left"/>
        </w:tabs>
        <w:numPr>
          <w:ilvl w:val="0"/>
          <w:numId w:val="23"/>
        </w:numPr>
        <w:rPr>
          <w:rFonts w:ascii="Arial" w:cs="Arial" w:eastAsia="Arial" w:hAnsi="Arial"/>
          <w:sz w:val="14"/>
          <w:szCs w:val="14"/>
          <w:color w:val="E36C0A"/>
        </w:rPr>
      </w:pPr>
      <w:r>
        <w:rPr>
          <w:rFonts w:ascii="Arial" w:cs="Arial" w:eastAsia="Arial" w:hAnsi="Arial"/>
          <w:sz w:val="14"/>
          <w:szCs w:val="14"/>
          <w:color w:val="auto"/>
        </w:rPr>
        <w:t>No excise tax gross-ups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-327660</wp:posOffset>
            </wp:positionV>
            <wp:extent cx="685800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00" cy="21463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100330</wp:posOffset>
            </wp:positionV>
            <wp:extent cx="685800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00" cy="21463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443230</wp:posOffset>
            </wp:positionV>
            <wp:extent cx="685800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00" cy="128905"/>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700405</wp:posOffset>
            </wp:positionV>
            <wp:extent cx="685800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00" cy="214630"/>
                    </a:xfrm>
                    <a:prstGeom prst="rect">
                      <a:avLst/>
                    </a:prstGeom>
                    <a:noFill/>
                  </pic:spPr>
                </pic:pic>
              </a:graphicData>
            </a:graphic>
          </wp:anchor>
        </w:drawing>
      </w:r>
    </w:p>
    <w:p>
      <w:pPr>
        <w:spacing w:after="0" w:line="1654" w:lineRule="exact"/>
        <w:rPr>
          <w:sz w:val="20"/>
          <w:szCs w:val="20"/>
          <w:color w:val="auto"/>
        </w:rPr>
      </w:pPr>
    </w:p>
    <w:p>
      <w:pPr>
        <w:sectPr>
          <w:pgSz w:w="11900" w:h="16838" w:orient="portrait"/>
          <w:cols w:equalWidth="0" w:num="2">
            <w:col w:w="5360" w:space="223"/>
            <w:col w:w="5677"/>
          </w:cols>
          <w:pgMar w:left="320" w:top="571" w:right="3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our named executive officers in 2019 consisted of the following elements: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Compensation Element</w:t>
            </w:r>
          </w:p>
        </w:tc>
        <w:tc>
          <w:tcPr>
            <w:tcW w:w="6620" w:type="dxa"/>
            <w:vAlign w:val="bottom"/>
            <w:shd w:val="clear" w:color="auto" w:fill="E36F1E"/>
          </w:tcPr>
          <w:p>
            <w:pPr>
              <w:ind w:left="3100"/>
              <w:spacing w:after="0"/>
              <w:rPr>
                <w:sz w:val="20"/>
                <w:szCs w:val="20"/>
                <w:color w:val="auto"/>
              </w:rPr>
            </w:pPr>
            <w:r>
              <w:rPr>
                <w:rFonts w:ascii="Arial" w:cs="Arial" w:eastAsia="Arial" w:hAnsi="Arial"/>
                <w:sz w:val="14"/>
                <w:szCs w:val="14"/>
                <w:b w:val="1"/>
                <w:bCs w:val="1"/>
                <w:color w:val="FFFFFF"/>
              </w:rPr>
              <w:t>Objective</w:t>
            </w:r>
          </w:p>
        </w:tc>
      </w:tr>
      <w:tr>
        <w:trPr>
          <w:trHeight w:val="229"/>
        </w:trPr>
        <w:tc>
          <w:tcPr>
            <w:tcW w:w="4640" w:type="dxa"/>
            <w:vAlign w:val="bottom"/>
            <w:shd w:val="clear" w:color="auto" w:fill="D9D9D9"/>
          </w:tcPr>
          <w:p>
            <w:pPr>
              <w:spacing w:after="0"/>
              <w:rPr>
                <w:sz w:val="20"/>
                <w:szCs w:val="20"/>
                <w:color w:val="auto"/>
              </w:rPr>
            </w:pPr>
            <w:r>
              <w:rPr>
                <w:rFonts w:ascii="Arial" w:cs="Arial" w:eastAsia="Arial" w:hAnsi="Arial"/>
                <w:sz w:val="18"/>
                <w:szCs w:val="18"/>
                <w:color w:val="auto"/>
              </w:rPr>
              <w:t>Base salary</w:t>
            </w:r>
          </w:p>
        </w:tc>
        <w:tc>
          <w:tcPr>
            <w:tcW w:w="6620" w:type="dxa"/>
            <w:vAlign w:val="bottom"/>
            <w:shd w:val="clear" w:color="auto" w:fill="D9D9D9"/>
          </w:tcPr>
          <w:p>
            <w:pPr>
              <w:ind w:left="240"/>
              <w:spacing w:after="0"/>
              <w:rPr>
                <w:sz w:val="20"/>
                <w:szCs w:val="20"/>
                <w:color w:val="auto"/>
              </w:rPr>
            </w:pPr>
            <w:r>
              <w:rPr>
                <w:rFonts w:ascii="Arial" w:cs="Arial" w:eastAsia="Arial" w:hAnsi="Arial"/>
                <w:sz w:val="18"/>
                <w:szCs w:val="18"/>
                <w:color w:val="auto"/>
              </w:rPr>
              <w:t>To attract and retain talented executives.</w:t>
            </w:r>
          </w:p>
        </w:tc>
      </w:tr>
      <w:tr>
        <w:trPr>
          <w:trHeight w:val="203"/>
        </w:trPr>
        <w:tc>
          <w:tcPr>
            <w:tcW w:w="4640" w:type="dxa"/>
            <w:vAlign w:val="bottom"/>
            <w:shd w:val="clear" w:color="auto" w:fill="D9D9D9"/>
          </w:tcPr>
          <w:p>
            <w:pPr>
              <w:spacing w:after="0"/>
              <w:rPr>
                <w:sz w:val="17"/>
                <w:szCs w:val="17"/>
                <w:color w:val="auto"/>
              </w:rPr>
            </w:pPr>
          </w:p>
        </w:tc>
        <w:tc>
          <w:tcPr>
            <w:tcW w:w="6620" w:type="dxa"/>
            <w:vAlign w:val="bottom"/>
            <w:shd w:val="clear" w:color="auto" w:fill="D9D9D9"/>
          </w:tcPr>
          <w:p>
            <w:pPr>
              <w:spacing w:after="0"/>
              <w:rPr>
                <w:sz w:val="17"/>
                <w:szCs w:val="17"/>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8"/>
                <w:szCs w:val="18"/>
                <w:color w:val="auto"/>
              </w:rPr>
              <w:t>Annual cash bonus</w:t>
            </w:r>
          </w:p>
        </w:tc>
        <w:tc>
          <w:tcPr>
            <w:tcW w:w="6620" w:type="dxa"/>
            <w:vAlign w:val="bottom"/>
          </w:tcPr>
          <w:p>
            <w:pPr>
              <w:ind w:left="240"/>
              <w:spacing w:after="0"/>
              <w:rPr>
                <w:sz w:val="20"/>
                <w:szCs w:val="20"/>
                <w:color w:val="auto"/>
              </w:rPr>
            </w:pPr>
            <w:r>
              <w:rPr>
                <w:rFonts w:ascii="Arial" w:cs="Arial" w:eastAsia="Arial" w:hAnsi="Arial"/>
                <w:sz w:val="18"/>
                <w:szCs w:val="18"/>
                <w:color w:val="auto"/>
              </w:rPr>
              <w:t>To motivate and reward our executives for the achievement of key company</w:t>
            </w:r>
          </w:p>
        </w:tc>
      </w:tr>
      <w:tr>
        <w:trPr>
          <w:trHeight w:val="217"/>
        </w:trPr>
        <w:tc>
          <w:tcPr>
            <w:tcW w:w="4640" w:type="dxa"/>
            <w:vAlign w:val="bottom"/>
          </w:tcPr>
          <w:p>
            <w:pPr>
              <w:spacing w:after="0"/>
              <w:rPr>
                <w:sz w:val="18"/>
                <w:szCs w:val="18"/>
                <w:color w:val="auto"/>
              </w:rPr>
            </w:pPr>
          </w:p>
        </w:tc>
        <w:tc>
          <w:tcPr>
            <w:tcW w:w="6620" w:type="dxa"/>
            <w:vAlign w:val="bottom"/>
          </w:tcPr>
          <w:p>
            <w:pPr>
              <w:ind w:left="240"/>
              <w:spacing w:after="0"/>
              <w:rPr>
                <w:sz w:val="20"/>
                <w:szCs w:val="20"/>
                <w:color w:val="auto"/>
              </w:rPr>
            </w:pPr>
            <w:r>
              <w:rPr>
                <w:rFonts w:ascii="Arial" w:cs="Arial" w:eastAsia="Arial" w:hAnsi="Arial"/>
                <w:sz w:val="18"/>
                <w:szCs w:val="18"/>
                <w:color w:val="auto"/>
              </w:rPr>
              <w:t>objectives set by the Compensation Committee at the beginning of the year.</w:t>
            </w:r>
          </w:p>
        </w:tc>
      </w:tr>
      <w:tr>
        <w:trPr>
          <w:trHeight w:val="203"/>
        </w:trPr>
        <w:tc>
          <w:tcPr>
            <w:tcW w:w="464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215"/>
        </w:trPr>
        <w:tc>
          <w:tcPr>
            <w:tcW w:w="4640" w:type="dxa"/>
            <w:vAlign w:val="bottom"/>
            <w:shd w:val="clear" w:color="auto" w:fill="D9D9D9"/>
          </w:tcPr>
          <w:p>
            <w:pPr>
              <w:spacing w:after="0"/>
              <w:rPr>
                <w:sz w:val="20"/>
                <w:szCs w:val="20"/>
                <w:color w:val="auto"/>
              </w:rPr>
            </w:pPr>
            <w:r>
              <w:rPr>
                <w:rFonts w:ascii="Arial" w:cs="Arial" w:eastAsia="Arial" w:hAnsi="Arial"/>
                <w:sz w:val="18"/>
                <w:szCs w:val="18"/>
                <w:color w:val="auto"/>
              </w:rPr>
              <w:t>Long-term incentive compensation in the form of equity</w:t>
            </w:r>
          </w:p>
        </w:tc>
        <w:tc>
          <w:tcPr>
            <w:tcW w:w="6620" w:type="dxa"/>
            <w:vAlign w:val="bottom"/>
            <w:shd w:val="clear" w:color="auto" w:fill="D9D9D9"/>
          </w:tcPr>
          <w:p>
            <w:pPr>
              <w:ind w:left="240"/>
              <w:spacing w:after="0"/>
              <w:rPr>
                <w:sz w:val="20"/>
                <w:szCs w:val="20"/>
                <w:color w:val="auto"/>
              </w:rPr>
            </w:pPr>
            <w:r>
              <w:rPr>
                <w:rFonts w:ascii="Arial" w:cs="Arial" w:eastAsia="Arial" w:hAnsi="Arial"/>
                <w:sz w:val="18"/>
                <w:szCs w:val="18"/>
                <w:color w:val="auto"/>
              </w:rPr>
              <w:t>To retain and motivate our executives and align their interests with those of our</w:t>
            </w:r>
          </w:p>
        </w:tc>
      </w:tr>
      <w:tr>
        <w:trPr>
          <w:trHeight w:val="217"/>
        </w:trPr>
        <w:tc>
          <w:tcPr>
            <w:tcW w:w="4640" w:type="dxa"/>
            <w:vAlign w:val="bottom"/>
            <w:shd w:val="clear" w:color="auto" w:fill="D9D9D9"/>
          </w:tcPr>
          <w:p>
            <w:pPr>
              <w:spacing w:after="0"/>
              <w:rPr>
                <w:sz w:val="20"/>
                <w:szCs w:val="20"/>
                <w:color w:val="auto"/>
              </w:rPr>
            </w:pPr>
            <w:r>
              <w:rPr>
                <w:rFonts w:ascii="Arial" w:cs="Arial" w:eastAsia="Arial" w:hAnsi="Arial"/>
                <w:sz w:val="18"/>
                <w:szCs w:val="18"/>
                <w:color w:val="auto"/>
              </w:rPr>
              <w:t>awards</w:t>
            </w:r>
          </w:p>
        </w:tc>
        <w:tc>
          <w:tcPr>
            <w:tcW w:w="6620" w:type="dxa"/>
            <w:vAlign w:val="bottom"/>
            <w:shd w:val="clear" w:color="auto" w:fill="D9D9D9"/>
          </w:tcPr>
          <w:p>
            <w:pPr>
              <w:ind w:left="240"/>
              <w:spacing w:after="0"/>
              <w:rPr>
                <w:sz w:val="20"/>
                <w:szCs w:val="20"/>
                <w:color w:val="auto"/>
              </w:rPr>
            </w:pPr>
            <w:r>
              <w:rPr>
                <w:rFonts w:ascii="Arial" w:cs="Arial" w:eastAsia="Arial" w:hAnsi="Arial"/>
                <w:sz w:val="18"/>
                <w:szCs w:val="18"/>
                <w:color w:val="auto"/>
              </w:rPr>
              <w:t>stockholders.</w:t>
            </w:r>
          </w:p>
        </w:tc>
      </w:tr>
      <w:tr>
        <w:trPr>
          <w:trHeight w:val="203"/>
        </w:trPr>
        <w:tc>
          <w:tcPr>
            <w:tcW w:w="4640" w:type="dxa"/>
            <w:vAlign w:val="bottom"/>
            <w:shd w:val="clear" w:color="auto" w:fill="D9D9D9"/>
          </w:tcPr>
          <w:p>
            <w:pPr>
              <w:spacing w:after="0"/>
              <w:rPr>
                <w:sz w:val="17"/>
                <w:szCs w:val="17"/>
                <w:color w:val="auto"/>
              </w:rPr>
            </w:pPr>
          </w:p>
        </w:tc>
        <w:tc>
          <w:tcPr>
            <w:tcW w:w="6620" w:type="dxa"/>
            <w:vAlign w:val="bottom"/>
            <w:shd w:val="clear" w:color="auto" w:fill="D9D9D9"/>
          </w:tcPr>
          <w:p>
            <w:pPr>
              <w:spacing w:after="0"/>
              <w:rPr>
                <w:sz w:val="17"/>
                <w:szCs w:val="17"/>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8"/>
                <w:szCs w:val="18"/>
                <w:color w:val="auto"/>
              </w:rPr>
              <w:t>Other benefits</w:t>
            </w:r>
          </w:p>
        </w:tc>
        <w:tc>
          <w:tcPr>
            <w:tcW w:w="6620" w:type="dxa"/>
            <w:vAlign w:val="bottom"/>
          </w:tcPr>
          <w:p>
            <w:pPr>
              <w:ind w:left="240"/>
              <w:spacing w:after="0"/>
              <w:rPr>
                <w:sz w:val="20"/>
                <w:szCs w:val="20"/>
                <w:color w:val="auto"/>
              </w:rPr>
            </w:pPr>
            <w:r>
              <w:rPr>
                <w:rFonts w:ascii="Arial" w:cs="Arial" w:eastAsia="Arial" w:hAnsi="Arial"/>
                <w:sz w:val="18"/>
                <w:szCs w:val="18"/>
                <w:color w:val="auto"/>
              </w:rPr>
              <w:t>General employee medical and dental plans, unlimited vacation, life and</w:t>
            </w:r>
          </w:p>
        </w:tc>
      </w:tr>
      <w:tr>
        <w:trPr>
          <w:trHeight w:val="203"/>
        </w:trPr>
        <w:tc>
          <w:tcPr>
            <w:tcW w:w="46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disability insurance and Section 401(k) plan matching contributions designed to</w:t>
            </w:r>
          </w:p>
        </w:tc>
      </w:tr>
      <w:tr>
        <w:trPr>
          <w:trHeight w:val="203"/>
        </w:trPr>
        <w:tc>
          <w:tcPr>
            <w:tcW w:w="4640" w:type="dxa"/>
            <w:vAlign w:val="bottom"/>
          </w:tcPr>
          <w:p>
            <w:pPr>
              <w:spacing w:after="0"/>
              <w:rPr>
                <w:sz w:val="17"/>
                <w:szCs w:val="17"/>
                <w:color w:val="auto"/>
              </w:rPr>
            </w:pPr>
          </w:p>
        </w:tc>
        <w:tc>
          <w:tcPr>
            <w:tcW w:w="6620" w:type="dxa"/>
            <w:vAlign w:val="bottom"/>
          </w:tcPr>
          <w:p>
            <w:pPr>
              <w:ind w:left="240"/>
              <w:spacing w:after="0" w:line="202" w:lineRule="exact"/>
              <w:rPr>
                <w:sz w:val="20"/>
                <w:szCs w:val="20"/>
                <w:color w:val="auto"/>
              </w:rPr>
            </w:pPr>
            <w:r>
              <w:rPr>
                <w:rFonts w:ascii="Arial" w:cs="Arial" w:eastAsia="Arial" w:hAnsi="Arial"/>
                <w:sz w:val="18"/>
                <w:szCs w:val="18"/>
                <w:color w:val="auto"/>
              </w:rPr>
              <w:t>provide employee benefits competitive with those offered by our peer group and</w:t>
            </w:r>
          </w:p>
        </w:tc>
      </w:tr>
      <w:tr>
        <w:trPr>
          <w:trHeight w:val="217"/>
        </w:trPr>
        <w:tc>
          <w:tcPr>
            <w:tcW w:w="4640" w:type="dxa"/>
            <w:vAlign w:val="bottom"/>
          </w:tcPr>
          <w:p>
            <w:pPr>
              <w:spacing w:after="0"/>
              <w:rPr>
                <w:sz w:val="18"/>
                <w:szCs w:val="18"/>
                <w:color w:val="auto"/>
              </w:rPr>
            </w:pPr>
          </w:p>
        </w:tc>
        <w:tc>
          <w:tcPr>
            <w:tcW w:w="6620" w:type="dxa"/>
            <w:vAlign w:val="bottom"/>
          </w:tcPr>
          <w:p>
            <w:pPr>
              <w:ind w:left="240"/>
              <w:spacing w:after="0"/>
              <w:rPr>
                <w:sz w:val="20"/>
                <w:szCs w:val="20"/>
                <w:color w:val="auto"/>
              </w:rPr>
            </w:pPr>
            <w:r>
              <w:rPr>
                <w:rFonts w:ascii="Arial" w:cs="Arial" w:eastAsia="Arial" w:hAnsi="Arial"/>
                <w:sz w:val="18"/>
                <w:szCs w:val="18"/>
                <w:color w:val="auto"/>
              </w:rPr>
              <w:t>other companies with which we compete for talent.</w:t>
            </w:r>
          </w:p>
        </w:tc>
      </w:tr>
    </w:tbl>
    <w:p>
      <w:pPr>
        <w:spacing w:after="0" w:line="26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Each of the elements of our executive compensation program is discussed in more detail below. Our compensation elements are designed to be flexible, to complement each other and to serve the compensation objectives described above. While we have not adopted any formal policies for allocating compensation between fixed and variable compensation, we generally target our long-term incentive compensation to be a significant majority of target total direct compensation. Our mix of compensation elements is designed to reward short-term results and motivate long-term performance through a combination of short-term cash and long-term 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Role of the Compensation Committee</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Compensation Committee of our Board oversees our executive compensation program and annually reviews and approves all executive compensation decisions. The Compensation Committee meets several times near the beginning of each fiscal year to review our executive compensation programs, establish the company performance measures used to set the annual cash bonus opportunities for the fiscal year and review the target total direct compensation for our executive officers to ensure consistency with our overall compensation philosophy. As part of this executive compensation review, the Compensation Committee is provided with relevant information, such as the competitive market data described further below, to use as a reference when determining each individual compensation element and target total direct compensation levels.</w:t>
      </w:r>
    </w:p>
    <w:p>
      <w:pPr>
        <w:spacing w:after="0" w:line="181" w:lineRule="exact"/>
        <w:rPr>
          <w:sz w:val="20"/>
          <w:szCs w:val="20"/>
          <w:color w:val="auto"/>
        </w:rPr>
      </w:pPr>
    </w:p>
    <w:p>
      <w:pPr>
        <w:ind w:left="7460"/>
        <w:spacing w:after="0"/>
        <w:tabs>
          <w:tab w:leader="none" w:pos="1102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E36C0A"/>
        </w:rPr>
        <w:t>Role of our Chief Executive Officer and Other Executive Officers</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Chief Executive Officer, President and Chief Operating Officer, and Chief Financial Officer assist the Compensation Committee in identifying the key performance and incentive measures that may be used in setting annual cash bonus opportunities and also provide input on key contributors and performers within the company so as to ensure their compensation accurately reflects their responsibilities, performance, experience levels and expected future contributions. Our Chief Executive Officer and President and Chief Operating Officer make recommendations to the Compensation Committee regarding the compensation for our executive officers (except with respect to their own compensation). No executive officer participated in the final deliberations or determinations regarding his own compensation package, except for Messrs. Halligan and Shah, who each requested that his base salary be reduced to $1 for 2019 and elected to forego any cash bonus awards. In addition, Mr. Halligan requested that the approved value of his equity award for 2019 be reduced from $3,750,000 to $3,597,030.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Role of the Compensation Consultant</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 has the authority to engage independent advisors to assist it in carrying out its responsibilities. For 2019, the Compensation Committee retained the services of Compensia, Inc. (“Compensia”), a national compensation consulting firm, to serve as its compensation consultant and to review and advise on the principal aspects of our executive compensation program. The executive compensation program services of Compensia included providing recommendations regarding the selection of compensation peer group companies, analyzing publicly available compensation data of peer group companies, compensation survey data, and other publicly available data to assess the competitive market for executive talent, and reviewing and advising on the target total direct compensation opportunities for our executive officers, including base salaries, annual cash bonus compensation, and long-term incentive compensation. In addition, Compensia also reviewed Board compensation and provided market practices for equity compensation design.</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compliance with the disclosure requirements of the SEC regarding the independence of compensation consultants, the Compensation Committee has assessed each of the six independence factors established by the SEC and adopted by the NYSE and has determined that the engagement of and work performed by Compensia does not raise any conflicts of interest or similar concerns. In addition, the Compensation Committee evaluated the independence of its other outside advisors to the Compensation Committee, including outside legal counsel, considering the same independence factors and concluded their work for the Compensation Committee does not raise any conflicts of interest.</w:t>
      </w:r>
    </w:p>
    <w:p>
      <w:pPr>
        <w:spacing w:after="0" w:line="20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Compensia reports directly to the Compensation Committee and does not provide any non-compensation related services to the company. Compensia does not make specific compensation-related recommendations, although it does use the competitive market data described below to provide ranges for base salary, annual cash bonus awards and long-term incentive compensation awards that are consistent with the company’s compensation peer group and relevant compensation survey data for the Compensation Committee to consider. Compensia attends certain Compensation Committee meetings, executive sessions and preparatory meetings with the committee chair and certain executive officers, as requested by the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Use of Competitive Market Data and Peer Groups</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directs Compensia to provide it with competitive market data and analysis based on a select group of peer companies and published compensation survey data, as well as information about current market practices and trends, compensation structures and peer group compensation ranges. The competitive market data Compensia provides is based on a compensation peer group selected and approved by the Compensation Committee with input and guidance from Compensia and published compensation survey data in cases where there is insufficient data for specific executive positions within the peer group companies. The compensation peer group is comprised of companies that are considered similar to us at the time of selection based on industry, business focus, and various financial criteria, including revenue, market capitalization and revenue growth rate.</w:t>
      </w:r>
    </w:p>
    <w:p>
      <w:pPr>
        <w:spacing w:after="0" w:line="20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For its review and analysis of the compensation of our Named Executive Officers for fiscal year 2019, the Compensation Committee approved the following 19 companies as our compensation peer group: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20" w:type="dxa"/>
            <w:vAlign w:val="bottom"/>
          </w:tcPr>
          <w:p>
            <w:pPr>
              <w:ind w:left="1140"/>
              <w:spacing w:after="0"/>
              <w:rPr>
                <w:sz w:val="20"/>
                <w:szCs w:val="20"/>
                <w:color w:val="auto"/>
              </w:rPr>
            </w:pPr>
            <w:r>
              <w:rPr>
                <w:rFonts w:ascii="Arial" w:cs="Arial" w:eastAsia="Arial" w:hAnsi="Arial"/>
                <w:sz w:val="18"/>
                <w:szCs w:val="18"/>
                <w:color w:val="auto"/>
              </w:rPr>
              <w:t>2U, Inc.</w:t>
            </w:r>
          </w:p>
        </w:tc>
        <w:tc>
          <w:tcPr>
            <w:tcW w:w="2800" w:type="dxa"/>
            <w:vAlign w:val="bottom"/>
          </w:tcPr>
          <w:p>
            <w:pPr>
              <w:ind w:left="360"/>
              <w:spacing w:after="0"/>
              <w:rPr>
                <w:sz w:val="20"/>
                <w:szCs w:val="20"/>
                <w:color w:val="auto"/>
              </w:rPr>
            </w:pPr>
            <w:r>
              <w:rPr>
                <w:rFonts w:ascii="Arial" w:cs="Arial" w:eastAsia="Arial" w:hAnsi="Arial"/>
                <w:sz w:val="18"/>
                <w:szCs w:val="18"/>
                <w:color w:val="auto"/>
              </w:rPr>
              <w:t>Ellie Mae Inc.</w:t>
            </w:r>
          </w:p>
        </w:tc>
        <w:tc>
          <w:tcPr>
            <w:tcW w:w="4640" w:type="dxa"/>
            <w:vAlign w:val="bottom"/>
          </w:tcPr>
          <w:p>
            <w:pPr>
              <w:ind w:left="580"/>
              <w:spacing w:after="0"/>
              <w:rPr>
                <w:sz w:val="20"/>
                <w:szCs w:val="20"/>
                <w:color w:val="auto"/>
              </w:rPr>
            </w:pPr>
            <w:r>
              <w:rPr>
                <w:rFonts w:ascii="Arial" w:cs="Arial" w:eastAsia="Arial" w:hAnsi="Arial"/>
                <w:sz w:val="18"/>
                <w:szCs w:val="18"/>
                <w:color w:val="auto"/>
              </w:rPr>
              <w:t>RingCentral, Inc.</w:t>
            </w:r>
          </w:p>
        </w:tc>
      </w:tr>
      <w:tr>
        <w:trPr>
          <w:trHeight w:val="243"/>
        </w:trPr>
        <w:tc>
          <w:tcPr>
            <w:tcW w:w="3820" w:type="dxa"/>
            <w:vAlign w:val="bottom"/>
          </w:tcPr>
          <w:p>
            <w:pPr>
              <w:ind w:left="1140"/>
              <w:spacing w:after="0"/>
              <w:rPr>
                <w:sz w:val="20"/>
                <w:szCs w:val="20"/>
                <w:color w:val="auto"/>
              </w:rPr>
            </w:pPr>
            <w:r>
              <w:rPr>
                <w:rFonts w:ascii="Arial" w:cs="Arial" w:eastAsia="Arial" w:hAnsi="Arial"/>
                <w:sz w:val="18"/>
                <w:szCs w:val="18"/>
                <w:color w:val="auto"/>
              </w:rPr>
              <w:t>8x8, Inc.</w:t>
            </w:r>
          </w:p>
        </w:tc>
        <w:tc>
          <w:tcPr>
            <w:tcW w:w="2800" w:type="dxa"/>
            <w:vAlign w:val="bottom"/>
          </w:tcPr>
          <w:p>
            <w:pPr>
              <w:ind w:left="360"/>
              <w:spacing w:after="0"/>
              <w:rPr>
                <w:sz w:val="20"/>
                <w:szCs w:val="20"/>
                <w:color w:val="auto"/>
              </w:rPr>
            </w:pPr>
            <w:r>
              <w:rPr>
                <w:rFonts w:ascii="Arial" w:cs="Arial" w:eastAsia="Arial" w:hAnsi="Arial"/>
                <w:sz w:val="18"/>
                <w:szCs w:val="18"/>
                <w:color w:val="auto"/>
              </w:rPr>
              <w:t>Imperva Inc.</w:t>
            </w:r>
          </w:p>
        </w:tc>
        <w:tc>
          <w:tcPr>
            <w:tcW w:w="4640" w:type="dxa"/>
            <w:vAlign w:val="bottom"/>
          </w:tcPr>
          <w:p>
            <w:pPr>
              <w:ind w:left="580"/>
              <w:spacing w:after="0"/>
              <w:rPr>
                <w:sz w:val="20"/>
                <w:szCs w:val="20"/>
                <w:color w:val="auto"/>
              </w:rPr>
            </w:pPr>
            <w:r>
              <w:rPr>
                <w:rFonts w:ascii="Arial" w:cs="Arial" w:eastAsia="Arial" w:hAnsi="Arial"/>
                <w:sz w:val="18"/>
                <w:szCs w:val="18"/>
                <w:color w:val="auto"/>
              </w:rPr>
              <w:t>SPS Commerce, Inc</w:t>
            </w:r>
          </w:p>
        </w:tc>
      </w:tr>
      <w:tr>
        <w:trPr>
          <w:trHeight w:val="243"/>
        </w:trPr>
        <w:tc>
          <w:tcPr>
            <w:tcW w:w="3820" w:type="dxa"/>
            <w:vAlign w:val="bottom"/>
          </w:tcPr>
          <w:p>
            <w:pPr>
              <w:ind w:left="1140"/>
              <w:spacing w:after="0"/>
              <w:rPr>
                <w:sz w:val="20"/>
                <w:szCs w:val="20"/>
                <w:color w:val="auto"/>
              </w:rPr>
            </w:pPr>
            <w:r>
              <w:rPr>
                <w:rFonts w:ascii="Arial" w:cs="Arial" w:eastAsia="Arial" w:hAnsi="Arial"/>
                <w:sz w:val="18"/>
                <w:szCs w:val="18"/>
                <w:color w:val="auto"/>
              </w:rPr>
              <w:t>Box, Inc.</w:t>
            </w:r>
          </w:p>
        </w:tc>
        <w:tc>
          <w:tcPr>
            <w:tcW w:w="2800" w:type="dxa"/>
            <w:vAlign w:val="bottom"/>
          </w:tcPr>
          <w:p>
            <w:pPr>
              <w:ind w:left="360"/>
              <w:spacing w:after="0"/>
              <w:rPr>
                <w:sz w:val="20"/>
                <w:szCs w:val="20"/>
                <w:color w:val="auto"/>
              </w:rPr>
            </w:pPr>
            <w:r>
              <w:rPr>
                <w:rFonts w:ascii="Arial" w:cs="Arial" w:eastAsia="Arial" w:hAnsi="Arial"/>
                <w:sz w:val="18"/>
                <w:szCs w:val="18"/>
                <w:color w:val="auto"/>
              </w:rPr>
              <w:t>New Relic, Inc.</w:t>
            </w:r>
          </w:p>
        </w:tc>
        <w:tc>
          <w:tcPr>
            <w:tcW w:w="4640" w:type="dxa"/>
            <w:vAlign w:val="bottom"/>
          </w:tcPr>
          <w:p>
            <w:pPr>
              <w:ind w:left="580"/>
              <w:spacing w:after="0"/>
              <w:rPr>
                <w:sz w:val="20"/>
                <w:szCs w:val="20"/>
                <w:color w:val="auto"/>
              </w:rPr>
            </w:pPr>
            <w:r>
              <w:rPr>
                <w:rFonts w:ascii="Arial" w:cs="Arial" w:eastAsia="Arial" w:hAnsi="Arial"/>
                <w:sz w:val="18"/>
                <w:szCs w:val="18"/>
                <w:color w:val="auto"/>
              </w:rPr>
              <w:t>The Trade Desk, Inc.</w:t>
            </w:r>
          </w:p>
        </w:tc>
      </w:tr>
      <w:tr>
        <w:trPr>
          <w:trHeight w:val="243"/>
        </w:trPr>
        <w:tc>
          <w:tcPr>
            <w:tcW w:w="3820" w:type="dxa"/>
            <w:vAlign w:val="bottom"/>
          </w:tcPr>
          <w:p>
            <w:pPr>
              <w:ind w:left="1140"/>
              <w:spacing w:after="0"/>
              <w:rPr>
                <w:sz w:val="20"/>
                <w:szCs w:val="20"/>
                <w:color w:val="auto"/>
              </w:rPr>
            </w:pPr>
            <w:r>
              <w:rPr>
                <w:rFonts w:ascii="Arial" w:cs="Arial" w:eastAsia="Arial" w:hAnsi="Arial"/>
                <w:sz w:val="18"/>
                <w:szCs w:val="18"/>
                <w:color w:val="auto"/>
              </w:rPr>
              <w:t>CarGurus, Inc.</w:t>
            </w:r>
          </w:p>
        </w:tc>
        <w:tc>
          <w:tcPr>
            <w:tcW w:w="2800" w:type="dxa"/>
            <w:vAlign w:val="bottom"/>
          </w:tcPr>
          <w:p>
            <w:pPr>
              <w:ind w:left="360"/>
              <w:spacing w:after="0"/>
              <w:rPr>
                <w:sz w:val="20"/>
                <w:szCs w:val="20"/>
                <w:color w:val="auto"/>
              </w:rPr>
            </w:pPr>
            <w:r>
              <w:rPr>
                <w:rFonts w:ascii="Arial" w:cs="Arial" w:eastAsia="Arial" w:hAnsi="Arial"/>
                <w:sz w:val="18"/>
                <w:szCs w:val="18"/>
                <w:color w:val="auto"/>
              </w:rPr>
              <w:t>Paycom Software, Inc.</w:t>
            </w:r>
          </w:p>
        </w:tc>
        <w:tc>
          <w:tcPr>
            <w:tcW w:w="4640" w:type="dxa"/>
            <w:vAlign w:val="bottom"/>
          </w:tcPr>
          <w:p>
            <w:pPr>
              <w:ind w:left="580"/>
              <w:spacing w:after="0"/>
              <w:rPr>
                <w:sz w:val="20"/>
                <w:szCs w:val="20"/>
                <w:color w:val="auto"/>
              </w:rPr>
            </w:pPr>
            <w:r>
              <w:rPr>
                <w:rFonts w:ascii="Arial" w:cs="Arial" w:eastAsia="Arial" w:hAnsi="Arial"/>
                <w:sz w:val="18"/>
                <w:szCs w:val="18"/>
                <w:color w:val="auto"/>
              </w:rPr>
              <w:t>Twilio Inc.</w:t>
            </w:r>
          </w:p>
        </w:tc>
      </w:tr>
      <w:tr>
        <w:trPr>
          <w:trHeight w:val="243"/>
        </w:trPr>
        <w:tc>
          <w:tcPr>
            <w:tcW w:w="3820" w:type="dxa"/>
            <w:vAlign w:val="bottom"/>
          </w:tcPr>
          <w:p>
            <w:pPr>
              <w:ind w:left="1140"/>
              <w:spacing w:after="0"/>
              <w:rPr>
                <w:sz w:val="20"/>
                <w:szCs w:val="20"/>
                <w:color w:val="auto"/>
              </w:rPr>
            </w:pPr>
            <w:r>
              <w:rPr>
                <w:rFonts w:ascii="Arial" w:cs="Arial" w:eastAsia="Arial" w:hAnsi="Arial"/>
                <w:sz w:val="18"/>
                <w:szCs w:val="18"/>
                <w:color w:val="auto"/>
              </w:rPr>
              <w:t>Cornerstone OnDemand, Inc.</w:t>
            </w:r>
          </w:p>
        </w:tc>
        <w:tc>
          <w:tcPr>
            <w:tcW w:w="2800" w:type="dxa"/>
            <w:vAlign w:val="bottom"/>
          </w:tcPr>
          <w:p>
            <w:pPr>
              <w:ind w:left="360"/>
              <w:spacing w:after="0"/>
              <w:rPr>
                <w:sz w:val="20"/>
                <w:szCs w:val="20"/>
                <w:color w:val="auto"/>
              </w:rPr>
            </w:pPr>
            <w:r>
              <w:rPr>
                <w:rFonts w:ascii="Arial" w:cs="Arial" w:eastAsia="Arial" w:hAnsi="Arial"/>
                <w:sz w:val="18"/>
                <w:szCs w:val="18"/>
                <w:color w:val="auto"/>
              </w:rPr>
              <w:t>Paylocity Holding Corp.</w:t>
            </w:r>
          </w:p>
        </w:tc>
        <w:tc>
          <w:tcPr>
            <w:tcW w:w="4640" w:type="dxa"/>
            <w:vAlign w:val="bottom"/>
          </w:tcPr>
          <w:p>
            <w:pPr>
              <w:ind w:left="580"/>
              <w:spacing w:after="0"/>
              <w:rPr>
                <w:sz w:val="20"/>
                <w:szCs w:val="20"/>
                <w:color w:val="auto"/>
              </w:rPr>
            </w:pPr>
            <w:r>
              <w:rPr>
                <w:rFonts w:ascii="Arial" w:cs="Arial" w:eastAsia="Arial" w:hAnsi="Arial"/>
                <w:sz w:val="18"/>
                <w:szCs w:val="18"/>
                <w:color w:val="auto"/>
              </w:rPr>
              <w:t>Veeva Systems Inc.</w:t>
            </w:r>
          </w:p>
        </w:tc>
      </w:tr>
      <w:tr>
        <w:trPr>
          <w:trHeight w:val="243"/>
        </w:trPr>
        <w:tc>
          <w:tcPr>
            <w:tcW w:w="3820" w:type="dxa"/>
            <w:vAlign w:val="bottom"/>
          </w:tcPr>
          <w:p>
            <w:pPr>
              <w:ind w:left="1140"/>
              <w:spacing w:after="0"/>
              <w:rPr>
                <w:sz w:val="20"/>
                <w:szCs w:val="20"/>
                <w:color w:val="auto"/>
              </w:rPr>
            </w:pPr>
            <w:r>
              <w:rPr>
                <w:rFonts w:ascii="Arial" w:cs="Arial" w:eastAsia="Arial" w:hAnsi="Arial"/>
                <w:sz w:val="18"/>
                <w:szCs w:val="18"/>
                <w:color w:val="auto"/>
              </w:rPr>
              <w:t>Docusign, Inc.</w:t>
            </w:r>
          </w:p>
        </w:tc>
        <w:tc>
          <w:tcPr>
            <w:tcW w:w="2800" w:type="dxa"/>
            <w:vAlign w:val="bottom"/>
          </w:tcPr>
          <w:p>
            <w:pPr>
              <w:ind w:left="360"/>
              <w:spacing w:after="0"/>
              <w:rPr>
                <w:sz w:val="20"/>
                <w:szCs w:val="20"/>
                <w:color w:val="auto"/>
              </w:rPr>
            </w:pPr>
            <w:r>
              <w:rPr>
                <w:rFonts w:ascii="Arial" w:cs="Arial" w:eastAsia="Arial" w:hAnsi="Arial"/>
                <w:sz w:val="18"/>
                <w:szCs w:val="18"/>
                <w:color w:val="auto"/>
              </w:rPr>
              <w:t>Qualys, Inc.</w:t>
            </w:r>
          </w:p>
        </w:tc>
        <w:tc>
          <w:tcPr>
            <w:tcW w:w="4640" w:type="dxa"/>
            <w:vAlign w:val="bottom"/>
          </w:tcPr>
          <w:p>
            <w:pPr>
              <w:ind w:left="580"/>
              <w:spacing w:after="0"/>
              <w:rPr>
                <w:sz w:val="20"/>
                <w:szCs w:val="20"/>
                <w:color w:val="auto"/>
              </w:rPr>
            </w:pPr>
            <w:r>
              <w:rPr>
                <w:rFonts w:ascii="Arial" w:cs="Arial" w:eastAsia="Arial" w:hAnsi="Arial"/>
                <w:sz w:val="18"/>
                <w:szCs w:val="18"/>
                <w:color w:val="auto"/>
              </w:rPr>
              <w:t>Zendesk, Inc.</w:t>
            </w:r>
          </w:p>
        </w:tc>
      </w:tr>
      <w:tr>
        <w:trPr>
          <w:trHeight w:val="243"/>
        </w:trPr>
        <w:tc>
          <w:tcPr>
            <w:tcW w:w="3820" w:type="dxa"/>
            <w:vAlign w:val="bottom"/>
          </w:tcPr>
          <w:p>
            <w:pPr>
              <w:ind w:left="1140"/>
              <w:spacing w:after="0"/>
              <w:rPr>
                <w:sz w:val="20"/>
                <w:szCs w:val="20"/>
                <w:color w:val="auto"/>
              </w:rPr>
            </w:pPr>
            <w:r>
              <w:rPr>
                <w:rFonts w:ascii="Arial" w:cs="Arial" w:eastAsia="Arial" w:hAnsi="Arial"/>
                <w:sz w:val="18"/>
                <w:szCs w:val="18"/>
                <w:color w:val="auto"/>
              </w:rPr>
              <w:t>Ebix Inc.</w:t>
            </w:r>
          </w:p>
        </w:tc>
        <w:tc>
          <w:tcPr>
            <w:tcW w:w="2800" w:type="dxa"/>
            <w:vAlign w:val="bottom"/>
          </w:tcPr>
          <w:p>
            <w:pPr>
              <w:spacing w:after="0"/>
              <w:rPr>
                <w:sz w:val="21"/>
                <w:szCs w:val="21"/>
                <w:color w:val="auto"/>
              </w:rPr>
            </w:pPr>
          </w:p>
        </w:tc>
        <w:tc>
          <w:tcPr>
            <w:tcW w:w="4640" w:type="dxa"/>
            <w:vAlign w:val="bottom"/>
          </w:tcPr>
          <w:p>
            <w:pPr>
              <w:spacing w:after="0"/>
              <w:rPr>
                <w:sz w:val="21"/>
                <w:szCs w:val="21"/>
                <w:color w:val="auto"/>
              </w:rPr>
            </w:pPr>
          </w:p>
        </w:tc>
      </w:tr>
      <w:tr>
        <w:trPr>
          <w:trHeight w:val="702"/>
        </w:trPr>
        <w:tc>
          <w:tcPr>
            <w:tcW w:w="3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640" w:type="dxa"/>
            <w:vAlign w:val="bottom"/>
          </w:tcPr>
          <w:p>
            <w:pPr>
              <w:ind w:left="840"/>
              <w:spacing w:after="0"/>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rFonts w:ascii="Arial" w:cs="Arial" w:eastAsia="Arial" w:hAnsi="Arial"/>
                <w:sz w:val="18"/>
                <w:szCs w:val="18"/>
                <w:color w:val="455560"/>
              </w:rPr>
              <w:t xml:space="preserve">  </w:t>
            </w:r>
            <w:r>
              <w:rPr>
                <w:rFonts w:ascii="Arial" w:cs="Arial" w:eastAsia="Arial" w:hAnsi="Arial"/>
                <w:sz w:val="18"/>
                <w:szCs w:val="18"/>
                <w:b w:val="1"/>
                <w:bCs w:val="1"/>
                <w:color w:val="000000"/>
              </w:rPr>
              <w:t>24</w:t>
            </w:r>
          </w:p>
        </w:tc>
      </w:tr>
      <w:tr>
        <w:trPr>
          <w:trHeight w:val="101"/>
        </w:trPr>
        <w:tc>
          <w:tcPr>
            <w:tcW w:w="382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29" w:name="page30"/>
    <w:bookmarkEnd w:id="29"/>
    <w:p>
      <w:pPr>
        <w:ind w:right="80"/>
        <w:spacing w:after="0" w:line="238" w:lineRule="auto"/>
        <w:rPr>
          <w:sz w:val="20"/>
          <w:szCs w:val="20"/>
          <w:color w:val="auto"/>
        </w:rPr>
      </w:pPr>
      <w:r>
        <w:rPr>
          <w:rFonts w:ascii="Arial" w:cs="Arial" w:eastAsia="Arial" w:hAnsi="Arial"/>
          <w:sz w:val="18"/>
          <w:szCs w:val="18"/>
          <w:color w:val="auto"/>
        </w:rPr>
        <w:t>Because publicly-available compensation data is generally limited to that of a company’s Chief Executive Officer, Chief Financial Officer, and up to three most highly-compensated executive officers (other than the Chief Executive Officer and the Chief Financial Officer), the Compensation Committee also utilized compensation data based on a custom cut of the Radford Global Technology Survey (which is based on the peer group companies with additional similarly sized companies in order to provide sufficient market data for all of the executive positions) in reviewing, analyzing, and determining the compensation for Ms. Bueker and Messrs. Kelleher, Madeley, Shah, and Sherman.</w:t>
      </w:r>
    </w:p>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Compensation Committee selected the companies in our compensation peer group and utilized the data drawn from the Radford Global Technology Survey because it believes that these companies compete with us for executive talent and were similar to us in terms of industry, revenue, market capitalization, and revenue growth rate. The Compensation Committee also determined that the companies in the compensation peer group generally have executive officer positions that are comparable to ours in terms of breadth, complexity, and scope of responsibilities.</w:t>
      </w:r>
    </w:p>
    <w:p>
      <w:pPr>
        <w:spacing w:after="0" w:line="20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While we compete for executive talent to some degree with companies that have revenues significantly in excess of those represented in the compensation peer group and published compensation surveys, we believe that the companies represented similarly compete for talent with such larger companies and hence are an appropriate comparison for our employment market. The Compensation Committee uses competitive market data as one factor when making compensation decisions, understanding that such data cannot be applied formulaically, and has historically taken into account other data, including input from the members of the Compensation Committee based on their experience in compensation matters.</w:t>
      </w:r>
    </w:p>
    <w:p>
      <w:pPr>
        <w:spacing w:after="0" w:line="20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Compensation Committee may replace some or all of the companies in the compensation peer group with others from time to time as changes in market positions and company size, including our own, may suggest more representative peer group companies.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Consideration of Say-On-Pay Advisory Vote</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At our June 5, 2019 annual meeting of stockholders, approximately 95.5% of the votes cast on the non-binding, advisory say-on-pay proposal were voted to approve the 2018 compensation of our named executive officers. The Compensation Committee believes that the vote outcome indicates that stockholders generally approve of the structure of our executive compensation program. In light of the 2019 advisory say-on-pay vote results, the Compensation Committee structured executive compensation for 2019 in a manner that was generally consistent with our 2018 executive compensation program. Stockholders will have an opportunity annually to cast a non-binding, advisory say-on-pay vote on the compensation of our named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Base Salaries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Base salaries for our named executive officers were established initially at the time the individual was hired, taking into account competitive market data provided by the Compensation Committee’s compensation consultant, if applicable, and internal pay parity considerations, as well as the individual’s qualifications and experience. The base salaries of our named executive officers are reviewed by our Chief Executive Officer and President and Chief Operating Officer and approved annually by the Compensation Committee. Adjustments to base salaries are also based on:</w:t>
      </w:r>
    </w:p>
    <w:p>
      <w:pPr>
        <w:spacing w:after="0" w:line="94"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E36F1E"/>
        </w:rPr>
      </w:pPr>
      <w:r>
        <w:rPr>
          <w:rFonts w:ascii="Arial" w:cs="Arial" w:eastAsia="Arial" w:hAnsi="Arial"/>
          <w:sz w:val="18"/>
          <w:szCs w:val="18"/>
          <w:color w:val="auto"/>
        </w:rPr>
        <w:t>Each named executive officer’s position, level of responsibility and seniority.</w:t>
      </w:r>
    </w:p>
    <w:p>
      <w:pPr>
        <w:spacing w:after="0" w:line="117" w:lineRule="exact"/>
        <w:rPr>
          <w:rFonts w:ascii="Arial" w:cs="Arial" w:eastAsia="Arial" w:hAnsi="Arial"/>
          <w:sz w:val="18"/>
          <w:szCs w:val="18"/>
          <w:color w:val="E36F1E"/>
        </w:rPr>
      </w:pPr>
    </w:p>
    <w:p>
      <w:pPr>
        <w:ind w:left="1000" w:right="140" w:hanging="493"/>
        <w:spacing w:after="0" w:line="246" w:lineRule="auto"/>
        <w:tabs>
          <w:tab w:leader="none" w:pos="1000" w:val="left"/>
        </w:tabs>
        <w:numPr>
          <w:ilvl w:val="0"/>
          <w:numId w:val="24"/>
        </w:numPr>
        <w:rPr>
          <w:rFonts w:ascii="Arial" w:cs="Arial" w:eastAsia="Arial" w:hAnsi="Arial"/>
          <w:sz w:val="18"/>
          <w:szCs w:val="18"/>
          <w:color w:val="E36F1E"/>
        </w:rPr>
      </w:pPr>
      <w:r>
        <w:rPr>
          <w:rFonts w:ascii="Arial" w:cs="Arial" w:eastAsia="Arial" w:hAnsi="Arial"/>
          <w:sz w:val="18"/>
          <w:szCs w:val="18"/>
          <w:color w:val="auto"/>
        </w:rPr>
        <w:t>The relative ease or difficulty of replacing the individual with a well-qualified person and the number of well-qualified candidates available to assume the individual’s role.</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24"/>
        </w:numPr>
        <w:rPr>
          <w:rFonts w:ascii="Arial" w:cs="Arial" w:eastAsia="Arial" w:hAnsi="Arial"/>
          <w:sz w:val="18"/>
          <w:szCs w:val="18"/>
          <w:color w:val="E36F1E"/>
        </w:rPr>
      </w:pPr>
      <w:r>
        <w:rPr>
          <w:rFonts w:ascii="Arial" w:cs="Arial" w:eastAsia="Arial" w:hAnsi="Arial"/>
          <w:sz w:val="18"/>
          <w:szCs w:val="18"/>
          <w:color w:val="auto"/>
        </w:rPr>
        <w:t>Internal parity among our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does not assign a specific weight to any single factor in making decisions regarding base salary adjustments.</w:t>
      </w:r>
    </w:p>
    <w:p>
      <w:pPr>
        <w:spacing w:after="0" w:line="212"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In January 2019, after reviewing the base salaries of our named executive officers compared to similarly situated executives at the companies in our compensation peer group and the relevant compensation survey data, assessing both company and individual performance in 2018, as well as reviewing internal parity among our named executive officers, the Compensation Committee made adjustments to the base salaries for Ms. Bueker and Messrs. Kelleher, Sherman, and Madeley. As they did in 2018, Messrs. Halligan and Shah each requested that his base salary be maintained at $1 for 2019.</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sets forth the base salaries for our named executive officers for fiscal 2018 and 2019:</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680" w:type="dxa"/>
            <w:vAlign w:val="bottom"/>
            <w:shd w:val="clear" w:color="auto" w:fill="E36F1E"/>
          </w:tcPr>
          <w:p>
            <w:pPr>
              <w:spacing w:after="0"/>
              <w:rPr>
                <w:sz w:val="14"/>
                <w:szCs w:val="14"/>
                <w:color w:val="auto"/>
              </w:rPr>
            </w:pPr>
          </w:p>
        </w:tc>
        <w:tc>
          <w:tcPr>
            <w:tcW w:w="1220" w:type="dxa"/>
            <w:vAlign w:val="bottom"/>
            <w:shd w:val="clear" w:color="auto" w:fill="E36F1E"/>
          </w:tcPr>
          <w:p>
            <w:pPr>
              <w:spacing w:after="0"/>
              <w:rPr>
                <w:sz w:val="14"/>
                <w:szCs w:val="14"/>
                <w:color w:val="auto"/>
              </w:rPr>
            </w:pPr>
          </w:p>
        </w:tc>
        <w:tc>
          <w:tcPr>
            <w:tcW w:w="1420" w:type="dxa"/>
            <w:vAlign w:val="bottom"/>
            <w:shd w:val="clear" w:color="auto" w:fill="E36F1E"/>
          </w:tcPr>
          <w:p>
            <w:pPr>
              <w:jc w:val="right"/>
              <w:ind w:right="468"/>
              <w:spacing w:after="0"/>
              <w:rPr>
                <w:sz w:val="20"/>
                <w:szCs w:val="20"/>
                <w:color w:val="auto"/>
              </w:rPr>
            </w:pPr>
            <w:r>
              <w:rPr>
                <w:rFonts w:ascii="Arial" w:cs="Arial" w:eastAsia="Arial" w:hAnsi="Arial"/>
                <w:sz w:val="14"/>
                <w:szCs w:val="14"/>
                <w:b w:val="1"/>
                <w:bCs w:val="1"/>
                <w:color w:val="FFFFFF"/>
              </w:rPr>
              <w:t>2018 Base</w:t>
            </w:r>
          </w:p>
        </w:tc>
        <w:tc>
          <w:tcPr>
            <w:tcW w:w="400" w:type="dxa"/>
            <w:vAlign w:val="bottom"/>
            <w:shd w:val="clear" w:color="auto" w:fill="E36F1E"/>
          </w:tcPr>
          <w:p>
            <w:pPr>
              <w:spacing w:after="0"/>
              <w:rPr>
                <w:sz w:val="14"/>
                <w:szCs w:val="14"/>
                <w:color w:val="auto"/>
              </w:rPr>
            </w:pPr>
          </w:p>
        </w:tc>
        <w:tc>
          <w:tcPr>
            <w:tcW w:w="1620" w:type="dxa"/>
            <w:vAlign w:val="bottom"/>
            <w:shd w:val="clear" w:color="auto" w:fill="E36F1E"/>
          </w:tcPr>
          <w:p>
            <w:pPr>
              <w:jc w:val="right"/>
              <w:ind w:right="688"/>
              <w:spacing w:after="0"/>
              <w:rPr>
                <w:sz w:val="20"/>
                <w:szCs w:val="20"/>
                <w:color w:val="auto"/>
              </w:rPr>
            </w:pPr>
            <w:r>
              <w:rPr>
                <w:rFonts w:ascii="Arial" w:cs="Arial" w:eastAsia="Arial" w:hAnsi="Arial"/>
                <w:sz w:val="14"/>
                <w:szCs w:val="14"/>
                <w:b w:val="1"/>
                <w:bCs w:val="1"/>
                <w:color w:val="FFFFFF"/>
              </w:rPr>
              <w:t>2019 Base</w:t>
            </w:r>
          </w:p>
        </w:tc>
        <w:tc>
          <w:tcPr>
            <w:tcW w:w="1640" w:type="dxa"/>
            <w:vAlign w:val="bottom"/>
            <w:shd w:val="clear" w:color="auto" w:fill="E36F1E"/>
          </w:tcPr>
          <w:p>
            <w:pPr>
              <w:spacing w:after="0"/>
              <w:rPr>
                <w:sz w:val="14"/>
                <w:szCs w:val="14"/>
                <w:color w:val="auto"/>
              </w:rPr>
            </w:pPr>
          </w:p>
        </w:tc>
      </w:tr>
      <w:tr>
        <w:trPr>
          <w:trHeight w:val="175"/>
        </w:trPr>
        <w:tc>
          <w:tcPr>
            <w:tcW w:w="26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shd w:val="clear" w:color="auto" w:fill="E36F1E"/>
          </w:tcPr>
          <w:p>
            <w:pPr>
              <w:spacing w:after="0"/>
              <w:rPr>
                <w:sz w:val="15"/>
                <w:szCs w:val="15"/>
                <w:color w:val="auto"/>
              </w:rPr>
            </w:pPr>
          </w:p>
        </w:tc>
        <w:tc>
          <w:tcPr>
            <w:tcW w:w="1420" w:type="dxa"/>
            <w:vAlign w:val="bottom"/>
            <w:shd w:val="clear" w:color="auto" w:fill="E36F1E"/>
          </w:tcPr>
          <w:p>
            <w:pPr>
              <w:jc w:val="right"/>
              <w:ind w:right="608"/>
              <w:spacing w:after="0"/>
              <w:rPr>
                <w:sz w:val="20"/>
                <w:szCs w:val="20"/>
                <w:color w:val="auto"/>
              </w:rPr>
            </w:pPr>
            <w:r>
              <w:rPr>
                <w:rFonts w:ascii="Arial" w:cs="Arial" w:eastAsia="Arial" w:hAnsi="Arial"/>
                <w:sz w:val="14"/>
                <w:szCs w:val="14"/>
                <w:b w:val="1"/>
                <w:bCs w:val="1"/>
                <w:color w:val="FFFFFF"/>
              </w:rPr>
              <w:t>Salary</w:t>
            </w:r>
          </w:p>
        </w:tc>
        <w:tc>
          <w:tcPr>
            <w:tcW w:w="400" w:type="dxa"/>
            <w:vAlign w:val="bottom"/>
            <w:shd w:val="clear" w:color="auto" w:fill="E36F1E"/>
          </w:tcPr>
          <w:p>
            <w:pPr>
              <w:spacing w:after="0"/>
              <w:rPr>
                <w:sz w:val="15"/>
                <w:szCs w:val="15"/>
                <w:color w:val="auto"/>
              </w:rPr>
            </w:pPr>
          </w:p>
        </w:tc>
        <w:tc>
          <w:tcPr>
            <w:tcW w:w="1620" w:type="dxa"/>
            <w:vAlign w:val="bottom"/>
            <w:shd w:val="clear" w:color="auto" w:fill="E36F1E"/>
          </w:tcPr>
          <w:p>
            <w:pPr>
              <w:jc w:val="right"/>
              <w:ind w:right="708"/>
              <w:spacing w:after="0"/>
              <w:rPr>
                <w:sz w:val="20"/>
                <w:szCs w:val="20"/>
                <w:color w:val="auto"/>
              </w:rPr>
            </w:pPr>
            <w:r>
              <w:rPr>
                <w:rFonts w:ascii="Arial" w:cs="Arial" w:eastAsia="Arial" w:hAnsi="Arial"/>
                <w:sz w:val="14"/>
                <w:szCs w:val="14"/>
                <w:b w:val="1"/>
                <w:bCs w:val="1"/>
                <w:color w:val="FFFFFF"/>
              </w:rPr>
              <w:t>Salary (1)</w:t>
            </w:r>
          </w:p>
        </w:tc>
        <w:tc>
          <w:tcPr>
            <w:tcW w:w="1640" w:type="dxa"/>
            <w:vAlign w:val="bottom"/>
            <w:shd w:val="clear" w:color="auto" w:fill="E36F1E"/>
          </w:tcPr>
          <w:p>
            <w:pPr>
              <w:jc w:val="right"/>
              <w:ind w:right="528"/>
              <w:spacing w:after="0"/>
              <w:rPr>
                <w:sz w:val="20"/>
                <w:szCs w:val="20"/>
                <w:color w:val="auto"/>
              </w:rPr>
            </w:pPr>
            <w:r>
              <w:rPr>
                <w:rFonts w:ascii="Arial" w:cs="Arial" w:eastAsia="Arial" w:hAnsi="Arial"/>
                <w:sz w:val="14"/>
                <w:szCs w:val="14"/>
                <w:b w:val="1"/>
                <w:bCs w:val="1"/>
                <w:color w:val="FFFFFF"/>
              </w:rPr>
              <w:t>% Change</w:t>
            </w:r>
          </w:p>
        </w:tc>
      </w:tr>
      <w:tr>
        <w:trPr>
          <w:trHeight w:val="176"/>
        </w:trPr>
        <w:tc>
          <w:tcPr>
            <w:tcW w:w="268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1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1</w:t>
            </w:r>
          </w:p>
        </w:tc>
        <w:tc>
          <w:tcPr>
            <w:tcW w:w="1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No change</w:t>
            </w:r>
          </w:p>
        </w:tc>
      </w:tr>
      <w:tr>
        <w:trPr>
          <w:trHeight w:val="175"/>
        </w:trPr>
        <w:tc>
          <w:tcPr>
            <w:tcW w:w="2680" w:type="dxa"/>
            <w:vAlign w:val="bottom"/>
          </w:tcPr>
          <w:p>
            <w:pPr>
              <w:spacing w:after="0"/>
              <w:rPr>
                <w:sz w:val="20"/>
                <w:szCs w:val="20"/>
                <w:color w:val="auto"/>
              </w:rPr>
            </w:pPr>
            <w:r>
              <w:rPr>
                <w:rFonts w:ascii="Arial" w:cs="Arial" w:eastAsia="Arial" w:hAnsi="Arial"/>
                <w:sz w:val="14"/>
                <w:szCs w:val="14"/>
                <w:color w:val="auto"/>
              </w:rPr>
              <w:t>Kate Bueker</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344,000</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68"/>
              <w:spacing w:after="0"/>
              <w:rPr>
                <w:sz w:val="20"/>
                <w:szCs w:val="20"/>
                <w:color w:val="auto"/>
              </w:rPr>
            </w:pPr>
            <w:r>
              <w:rPr>
                <w:rFonts w:ascii="Arial" w:cs="Arial" w:eastAsia="Arial" w:hAnsi="Arial"/>
                <w:sz w:val="14"/>
                <w:szCs w:val="14"/>
                <w:color w:val="auto"/>
              </w:rPr>
              <w:t>353,125</w:t>
            </w:r>
          </w:p>
        </w:tc>
        <w:tc>
          <w:tcPr>
            <w:tcW w:w="16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6"/>
        </w:trPr>
        <w:tc>
          <w:tcPr>
            <w:tcW w:w="268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1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262,500</w:t>
            </w:r>
          </w:p>
        </w:tc>
        <w:tc>
          <w:tcPr>
            <w:tcW w:w="4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278,125</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r>
      <w:tr>
        <w:trPr>
          <w:trHeight w:val="175"/>
        </w:trPr>
        <w:tc>
          <w:tcPr>
            <w:tcW w:w="2680" w:type="dxa"/>
            <w:vAlign w:val="bottom"/>
          </w:tcPr>
          <w:p>
            <w:pPr>
              <w:spacing w:after="0"/>
              <w:rPr>
                <w:sz w:val="20"/>
                <w:szCs w:val="20"/>
                <w:color w:val="auto"/>
              </w:rPr>
            </w:pPr>
            <w:r>
              <w:rPr>
                <w:rFonts w:ascii="Arial" w:cs="Arial" w:eastAsia="Arial" w:hAnsi="Arial"/>
                <w:sz w:val="14"/>
                <w:szCs w:val="14"/>
                <w:color w:val="auto"/>
              </w:rPr>
              <w:t>Hunter Madeley (2)</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328,125</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68"/>
              <w:spacing w:after="0"/>
              <w:rPr>
                <w:sz w:val="20"/>
                <w:szCs w:val="20"/>
                <w:color w:val="auto"/>
              </w:rPr>
            </w:pPr>
            <w:r>
              <w:rPr>
                <w:rFonts w:ascii="Arial" w:cs="Arial" w:eastAsia="Arial" w:hAnsi="Arial"/>
                <w:sz w:val="14"/>
                <w:szCs w:val="14"/>
                <w:color w:val="auto"/>
              </w:rPr>
              <w:t>347,813</w:t>
            </w:r>
          </w:p>
        </w:tc>
        <w:tc>
          <w:tcPr>
            <w:tcW w:w="16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76"/>
        </w:trPr>
        <w:tc>
          <w:tcPr>
            <w:tcW w:w="2680" w:type="dxa"/>
            <w:vAlign w:val="bottom"/>
            <w:shd w:val="clear" w:color="auto" w:fill="CFF0FC"/>
          </w:tcPr>
          <w:p>
            <w:pPr>
              <w:spacing w:after="0"/>
              <w:rPr>
                <w:sz w:val="20"/>
                <w:szCs w:val="20"/>
                <w:color w:val="auto"/>
              </w:rPr>
            </w:pPr>
            <w:r>
              <w:rPr>
                <w:rFonts w:ascii="Arial" w:cs="Arial" w:eastAsia="Arial" w:hAnsi="Arial"/>
                <w:sz w:val="14"/>
                <w:szCs w:val="14"/>
                <w:color w:val="auto"/>
              </w:rPr>
              <w:t>Dharmesh Shah</w:t>
            </w:r>
          </w:p>
        </w:tc>
        <w:tc>
          <w:tcPr>
            <w:tcW w:w="1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1</w:t>
            </w:r>
          </w:p>
        </w:tc>
        <w:tc>
          <w:tcPr>
            <w:tcW w:w="1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No change</w:t>
            </w:r>
          </w:p>
        </w:tc>
      </w:tr>
      <w:tr>
        <w:trPr>
          <w:trHeight w:val="190"/>
        </w:trPr>
        <w:tc>
          <w:tcPr>
            <w:tcW w:w="2680" w:type="dxa"/>
            <w:vAlign w:val="bottom"/>
          </w:tcPr>
          <w:p>
            <w:pPr>
              <w:spacing w:after="0"/>
              <w:rPr>
                <w:sz w:val="20"/>
                <w:szCs w:val="20"/>
                <w:color w:val="auto"/>
              </w:rPr>
            </w:pPr>
            <w:r>
              <w:rPr>
                <w:rFonts w:ascii="Arial" w:cs="Arial" w:eastAsia="Arial" w:hAnsi="Arial"/>
                <w:sz w:val="14"/>
                <w:szCs w:val="14"/>
                <w:color w:val="auto"/>
              </w:rPr>
              <w:t>JD Sherman</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375,000</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68"/>
              <w:spacing w:after="0"/>
              <w:rPr>
                <w:sz w:val="20"/>
                <w:szCs w:val="20"/>
                <w:color w:val="auto"/>
              </w:rPr>
            </w:pPr>
            <w:r>
              <w:rPr>
                <w:rFonts w:ascii="Arial" w:cs="Arial" w:eastAsia="Arial" w:hAnsi="Arial"/>
                <w:sz w:val="14"/>
                <w:szCs w:val="14"/>
                <w:color w:val="auto"/>
              </w:rPr>
              <w:t>397,500</w:t>
            </w:r>
          </w:p>
        </w:tc>
        <w:tc>
          <w:tcPr>
            <w:tcW w:w="1640" w:type="dxa"/>
            <w:vAlign w:val="bottom"/>
          </w:tcPr>
          <w:p>
            <w:pPr>
              <w:jc w:val="right"/>
              <w:spacing w:after="0"/>
              <w:rPr>
                <w:sz w:val="20"/>
                <w:szCs w:val="20"/>
                <w:color w:val="auto"/>
              </w:rPr>
            </w:pPr>
            <w:r>
              <w:rPr>
                <w:rFonts w:ascii="Arial" w:cs="Arial" w:eastAsia="Arial" w:hAnsi="Arial"/>
                <w:sz w:val="14"/>
                <w:szCs w:val="14"/>
                <w:color w:val="auto"/>
              </w:rPr>
              <w:t>6.0%</w:t>
            </w:r>
          </w:p>
        </w:tc>
      </w:tr>
    </w:tbl>
    <w:p>
      <w:pPr>
        <w:spacing w:after="0" w:line="27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 salary changes were effective as of April 1, 2019.</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Madeley served as our Chief Sales Officer until July 2,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Annual Cash Bonuses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provide annual performance-based cash bonus opportunities linked to the achievement of pre-established corporate performance goals under our Senior Executive Cash Incentive Bonus Plan (the “Bonus Plan”) to our named executive officers. The Compensation Committee believes that the annual performance measures used in the Bonus Plan contribute to driving long-term stockholder value, play an important role in influencing executive performance, and are an important element of our executive compensation program to help attract, motivate, reward, and retain our executive officers and other employees.</w:t>
      </w:r>
    </w:p>
    <w:p>
      <w:pPr>
        <w:spacing w:after="0" w:line="20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Under the Bonus Plan, each year (generally during the first quarter) the Compensation Committee approves company-wide performance objectives, which serve as the basis for determining the eligibility for, and amount of, bonuses to be paid under the program. Typically, performance under the Bonus Plan is measured and paid out semi-annually as of June 30</w:t>
      </w:r>
      <w:r>
        <w:rPr>
          <w:rFonts w:ascii="Arial" w:cs="Arial" w:eastAsia="Arial" w:hAnsi="Arial"/>
          <w:sz w:val="15"/>
          <w:szCs w:val="15"/>
          <w:color w:val="auto"/>
        </w:rPr>
        <w:t>th</w:t>
      </w:r>
      <w:r>
        <w:rPr>
          <w:rFonts w:ascii="Arial" w:cs="Arial" w:eastAsia="Arial" w:hAnsi="Arial"/>
          <w:sz w:val="18"/>
          <w:szCs w:val="18"/>
          <w:color w:val="auto"/>
        </w:rPr>
        <w:t xml:space="preserve"> and December 31</w:t>
      </w:r>
      <w:r>
        <w:rPr>
          <w:rFonts w:ascii="Arial" w:cs="Arial" w:eastAsia="Arial" w:hAnsi="Arial"/>
          <w:sz w:val="15"/>
          <w:szCs w:val="15"/>
          <w:color w:val="auto"/>
        </w:rPr>
        <w:t>st</w:t>
      </w:r>
      <w:r>
        <w:rPr>
          <w:rFonts w:ascii="Arial" w:cs="Arial" w:eastAsia="Arial" w:hAnsi="Arial"/>
          <w:sz w:val="18"/>
          <w:szCs w:val="18"/>
          <w:color w:val="auto"/>
        </w:rPr>
        <w:t xml:space="preserve"> each year. After the end of each six-month period, the Compensation Committee reviews our actual achievement against the target levels for the pre-established performance measures and determines the bonuses, if any, to be paid under the program. The Compensation Committee may increase or decrease awards under the Bonus Plan in its discretion based on factors the committee deems appropriate.</w:t>
      </w:r>
    </w:p>
    <w:p>
      <w:pPr>
        <w:spacing w:after="0" w:line="18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2019 Target Annual Cash Bonus Opportunity. </w:t>
      </w:r>
      <w:r>
        <w:rPr>
          <w:rFonts w:ascii="Arial" w:cs="Arial" w:eastAsia="Arial" w:hAnsi="Arial"/>
          <w:sz w:val="18"/>
          <w:szCs w:val="18"/>
          <w:color w:val="auto"/>
        </w:rPr>
        <w:t>To establish our executive officers’ individual target annual cash bonus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(expressed as a percentage of base salary), the Compensation Committee considers competitive market data prepared by its compensation consultant, and the level, position, objectives, and scope of responsibility of each executive officer, as well as considerations of internal parity among similarly situated executives.</w:t>
      </w:r>
    </w:p>
    <w:p>
      <w:pPr>
        <w:spacing w:after="0" w:line="19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January 2019, based on its review of our executive compensation program, competitive market data, and the other factors described above, the Compensation Committee approved the following target annual cash bonus opportunities for the named executive officers, which remained unchanged from 2018 levels. As in 2018, Messrs. Halligan and Shah voluntarily requested to forego any cash bonuses under the Bonus Plan for 2019. In connection with his transition from the Company, Mr. Madeley was not eligible for a cash bonus under the Bonus Plan for the six-month period ended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target annual cash bonus opportunities for our named executive officers under our Bonus Plan for 2019:</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780" w:type="dxa"/>
            <w:vAlign w:val="bottom"/>
            <w:shd w:val="clear" w:color="auto" w:fill="E36F1E"/>
          </w:tcPr>
          <w:p>
            <w:pPr>
              <w:spacing w:after="0"/>
              <w:rPr>
                <w:sz w:val="14"/>
                <w:szCs w:val="14"/>
                <w:color w:val="auto"/>
              </w:rPr>
            </w:pPr>
          </w:p>
        </w:tc>
        <w:tc>
          <w:tcPr>
            <w:tcW w:w="2780" w:type="dxa"/>
            <w:vAlign w:val="bottom"/>
            <w:shd w:val="clear" w:color="auto" w:fill="E36F1E"/>
          </w:tcPr>
          <w:p>
            <w:pPr>
              <w:jc w:val="center"/>
              <w:ind w:left="628"/>
              <w:spacing w:after="0"/>
              <w:rPr>
                <w:sz w:val="20"/>
                <w:szCs w:val="20"/>
                <w:color w:val="auto"/>
              </w:rPr>
            </w:pPr>
            <w:r>
              <w:rPr>
                <w:rFonts w:ascii="Arial" w:cs="Arial" w:eastAsia="Arial" w:hAnsi="Arial"/>
                <w:sz w:val="14"/>
                <w:szCs w:val="14"/>
                <w:b w:val="1"/>
                <w:bCs w:val="1"/>
                <w:color w:val="FFFFFF"/>
              </w:rPr>
              <w:t>2018 Target Bonus</w:t>
            </w:r>
          </w:p>
        </w:tc>
        <w:tc>
          <w:tcPr>
            <w:tcW w:w="200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2019 Target Bonus</w:t>
            </w:r>
          </w:p>
        </w:tc>
        <w:tc>
          <w:tcPr>
            <w:tcW w:w="1420" w:type="dxa"/>
            <w:vAlign w:val="bottom"/>
            <w:shd w:val="clear" w:color="auto" w:fill="E36F1E"/>
          </w:tcPr>
          <w:p>
            <w:pPr>
              <w:spacing w:after="0"/>
              <w:rPr>
                <w:sz w:val="14"/>
                <w:szCs w:val="14"/>
                <w:color w:val="auto"/>
              </w:rPr>
            </w:pPr>
          </w:p>
        </w:tc>
      </w:tr>
      <w:tr>
        <w:trPr>
          <w:trHeight w:val="162"/>
        </w:trPr>
        <w:tc>
          <w:tcPr>
            <w:tcW w:w="2780" w:type="dxa"/>
            <w:vAlign w:val="bottom"/>
            <w:shd w:val="clear" w:color="auto" w:fill="E36F1E"/>
          </w:tcPr>
          <w:p>
            <w:pPr>
              <w:spacing w:after="0"/>
              <w:rPr>
                <w:sz w:val="14"/>
                <w:szCs w:val="14"/>
                <w:color w:val="auto"/>
              </w:rPr>
            </w:pPr>
          </w:p>
        </w:tc>
        <w:tc>
          <w:tcPr>
            <w:tcW w:w="2780" w:type="dxa"/>
            <w:vAlign w:val="bottom"/>
            <w:shd w:val="clear" w:color="auto" w:fill="E36F1E"/>
          </w:tcPr>
          <w:p>
            <w:pPr>
              <w:jc w:val="center"/>
              <w:ind w:left="628"/>
              <w:spacing w:after="0"/>
              <w:rPr>
                <w:sz w:val="20"/>
                <w:szCs w:val="20"/>
                <w:color w:val="auto"/>
              </w:rPr>
            </w:pPr>
            <w:r>
              <w:rPr>
                <w:rFonts w:ascii="Arial" w:cs="Arial" w:eastAsia="Arial" w:hAnsi="Arial"/>
                <w:sz w:val="14"/>
                <w:szCs w:val="14"/>
                <w:b w:val="1"/>
                <w:bCs w:val="1"/>
                <w:color w:val="FFFFFF"/>
              </w:rPr>
              <w:t>Opportunity (as %</w:t>
            </w:r>
          </w:p>
        </w:tc>
        <w:tc>
          <w:tcPr>
            <w:tcW w:w="200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Opportunity (as %</w:t>
            </w:r>
          </w:p>
        </w:tc>
        <w:tc>
          <w:tcPr>
            <w:tcW w:w="1420" w:type="dxa"/>
            <w:vAlign w:val="bottom"/>
            <w:shd w:val="clear" w:color="auto" w:fill="E36F1E"/>
          </w:tcPr>
          <w:p>
            <w:pPr>
              <w:spacing w:after="0"/>
              <w:rPr>
                <w:sz w:val="14"/>
                <w:szCs w:val="14"/>
                <w:color w:val="auto"/>
              </w:rPr>
            </w:pPr>
          </w:p>
        </w:tc>
      </w:tr>
      <w:tr>
        <w:trPr>
          <w:trHeight w:val="162"/>
        </w:trPr>
        <w:tc>
          <w:tcPr>
            <w:tcW w:w="2780" w:type="dxa"/>
            <w:vAlign w:val="bottom"/>
            <w:shd w:val="clear" w:color="auto" w:fill="E36F1E"/>
          </w:tcPr>
          <w:p>
            <w:pPr>
              <w:spacing w:after="0"/>
              <w:rPr>
                <w:sz w:val="14"/>
                <w:szCs w:val="14"/>
                <w:color w:val="auto"/>
              </w:rPr>
            </w:pPr>
          </w:p>
        </w:tc>
        <w:tc>
          <w:tcPr>
            <w:tcW w:w="2780" w:type="dxa"/>
            <w:vAlign w:val="bottom"/>
            <w:shd w:val="clear" w:color="auto" w:fill="E36F1E"/>
          </w:tcPr>
          <w:p>
            <w:pPr>
              <w:jc w:val="center"/>
              <w:ind w:left="628"/>
              <w:spacing w:after="0"/>
              <w:rPr>
                <w:sz w:val="20"/>
                <w:szCs w:val="20"/>
                <w:color w:val="auto"/>
              </w:rPr>
            </w:pPr>
            <w:r>
              <w:rPr>
                <w:rFonts w:ascii="Arial" w:cs="Arial" w:eastAsia="Arial" w:hAnsi="Arial"/>
                <w:sz w:val="14"/>
                <w:szCs w:val="14"/>
                <w:b w:val="1"/>
                <w:bCs w:val="1"/>
                <w:color w:val="FFFFFF"/>
              </w:rPr>
              <w:t>of annual base</w:t>
            </w:r>
          </w:p>
        </w:tc>
        <w:tc>
          <w:tcPr>
            <w:tcW w:w="200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of annual base</w:t>
            </w:r>
          </w:p>
        </w:tc>
        <w:tc>
          <w:tcPr>
            <w:tcW w:w="1420" w:type="dxa"/>
            <w:vAlign w:val="bottom"/>
            <w:shd w:val="clear" w:color="auto" w:fill="E36F1E"/>
          </w:tcPr>
          <w:p>
            <w:pPr>
              <w:spacing w:after="0"/>
              <w:rPr>
                <w:sz w:val="14"/>
                <w:szCs w:val="14"/>
                <w:color w:val="auto"/>
              </w:rPr>
            </w:pPr>
          </w:p>
        </w:tc>
      </w:tr>
      <w:tr>
        <w:trPr>
          <w:trHeight w:val="175"/>
        </w:trPr>
        <w:tc>
          <w:tcPr>
            <w:tcW w:w="27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2780" w:type="dxa"/>
            <w:vAlign w:val="bottom"/>
            <w:shd w:val="clear" w:color="auto" w:fill="E36F1E"/>
          </w:tcPr>
          <w:p>
            <w:pPr>
              <w:jc w:val="center"/>
              <w:ind w:left="608"/>
              <w:spacing w:after="0"/>
              <w:rPr>
                <w:sz w:val="20"/>
                <w:szCs w:val="20"/>
                <w:color w:val="auto"/>
              </w:rPr>
            </w:pPr>
            <w:r>
              <w:rPr>
                <w:rFonts w:ascii="Arial" w:cs="Arial" w:eastAsia="Arial" w:hAnsi="Arial"/>
                <w:sz w:val="14"/>
                <w:szCs w:val="14"/>
                <w:b w:val="1"/>
                <w:bCs w:val="1"/>
                <w:color w:val="FFFFFF"/>
              </w:rPr>
              <w:t>salary)</w:t>
            </w:r>
          </w:p>
        </w:tc>
        <w:tc>
          <w:tcPr>
            <w:tcW w:w="200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salary) (1)</w:t>
            </w:r>
          </w:p>
        </w:tc>
        <w:tc>
          <w:tcPr>
            <w:tcW w:w="1420" w:type="dxa"/>
            <w:vAlign w:val="bottom"/>
            <w:shd w:val="clear" w:color="auto" w:fill="E36F1E"/>
          </w:tcPr>
          <w:p>
            <w:pPr>
              <w:ind w:left="280"/>
              <w:spacing w:after="0"/>
              <w:rPr>
                <w:sz w:val="20"/>
                <w:szCs w:val="20"/>
                <w:color w:val="auto"/>
              </w:rPr>
            </w:pPr>
            <w:r>
              <w:rPr>
                <w:rFonts w:ascii="Arial" w:cs="Arial" w:eastAsia="Arial" w:hAnsi="Arial"/>
                <w:sz w:val="14"/>
                <w:szCs w:val="14"/>
                <w:b w:val="1"/>
                <w:bCs w:val="1"/>
                <w:color w:val="FFFFFF"/>
              </w:rPr>
              <w:t>% Change</w:t>
            </w:r>
          </w:p>
        </w:tc>
      </w:tr>
      <w:tr>
        <w:trPr>
          <w:trHeight w:val="175"/>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2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w:t>
            </w:r>
          </w:p>
        </w:tc>
        <w:tc>
          <w:tcPr>
            <w:tcW w:w="20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CFF0FC"/>
          </w:tcPr>
          <w:p>
            <w:pPr>
              <w:ind w:left="700"/>
              <w:spacing w:after="0"/>
              <w:rPr>
                <w:sz w:val="20"/>
                <w:szCs w:val="20"/>
                <w:color w:val="auto"/>
              </w:rPr>
            </w:pPr>
            <w:r>
              <w:rPr>
                <w:rFonts w:ascii="Arial" w:cs="Arial" w:eastAsia="Arial" w:hAnsi="Arial"/>
                <w:sz w:val="14"/>
                <w:szCs w:val="14"/>
                <w:color w:val="auto"/>
              </w:rPr>
              <w:t>No change</w:t>
            </w:r>
          </w:p>
        </w:tc>
      </w:tr>
      <w:tr>
        <w:trPr>
          <w:trHeight w:val="175"/>
        </w:trPr>
        <w:tc>
          <w:tcPr>
            <w:tcW w:w="2780" w:type="dxa"/>
            <w:vAlign w:val="bottom"/>
          </w:tcPr>
          <w:p>
            <w:pPr>
              <w:spacing w:after="0"/>
              <w:rPr>
                <w:sz w:val="20"/>
                <w:szCs w:val="20"/>
                <w:color w:val="auto"/>
              </w:rPr>
            </w:pPr>
            <w:r>
              <w:rPr>
                <w:rFonts w:ascii="Arial" w:cs="Arial" w:eastAsia="Arial" w:hAnsi="Arial"/>
                <w:sz w:val="14"/>
                <w:szCs w:val="14"/>
                <w:color w:val="auto"/>
              </w:rPr>
              <w:t>Kate Bueker</w:t>
            </w:r>
          </w:p>
        </w:tc>
        <w:tc>
          <w:tcPr>
            <w:tcW w:w="27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200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1420" w:type="dxa"/>
            <w:vAlign w:val="bottom"/>
          </w:tcPr>
          <w:p>
            <w:pPr>
              <w:ind w:left="700"/>
              <w:spacing w:after="0"/>
              <w:rPr>
                <w:sz w:val="20"/>
                <w:szCs w:val="20"/>
                <w:color w:val="auto"/>
              </w:rPr>
            </w:pPr>
            <w:r>
              <w:rPr>
                <w:rFonts w:ascii="Arial" w:cs="Arial" w:eastAsia="Arial" w:hAnsi="Arial"/>
                <w:sz w:val="14"/>
                <w:szCs w:val="14"/>
                <w:color w:val="auto"/>
              </w:rPr>
              <w:t>No change</w:t>
            </w:r>
          </w:p>
        </w:tc>
      </w:tr>
      <w:tr>
        <w:trPr>
          <w:trHeight w:val="175"/>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2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60%</w:t>
            </w:r>
          </w:p>
        </w:tc>
        <w:tc>
          <w:tcPr>
            <w:tcW w:w="20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60%</w:t>
            </w:r>
          </w:p>
        </w:tc>
        <w:tc>
          <w:tcPr>
            <w:tcW w:w="1420" w:type="dxa"/>
            <w:vAlign w:val="bottom"/>
            <w:shd w:val="clear" w:color="auto" w:fill="CFF0FC"/>
          </w:tcPr>
          <w:p>
            <w:pPr>
              <w:ind w:left="700"/>
              <w:spacing w:after="0"/>
              <w:rPr>
                <w:sz w:val="20"/>
                <w:szCs w:val="20"/>
                <w:color w:val="auto"/>
              </w:rPr>
            </w:pPr>
            <w:r>
              <w:rPr>
                <w:rFonts w:ascii="Arial" w:cs="Arial" w:eastAsia="Arial" w:hAnsi="Arial"/>
                <w:sz w:val="14"/>
                <w:szCs w:val="14"/>
                <w:color w:val="auto"/>
              </w:rPr>
              <w:t>No change</w:t>
            </w:r>
          </w:p>
        </w:tc>
      </w:tr>
      <w:tr>
        <w:trPr>
          <w:trHeight w:val="175"/>
        </w:trPr>
        <w:tc>
          <w:tcPr>
            <w:tcW w:w="2780" w:type="dxa"/>
            <w:vAlign w:val="bottom"/>
          </w:tcPr>
          <w:p>
            <w:pPr>
              <w:spacing w:after="0"/>
              <w:rPr>
                <w:sz w:val="20"/>
                <w:szCs w:val="20"/>
                <w:color w:val="auto"/>
              </w:rPr>
            </w:pPr>
            <w:r>
              <w:rPr>
                <w:rFonts w:ascii="Arial" w:cs="Arial" w:eastAsia="Arial" w:hAnsi="Arial"/>
                <w:sz w:val="14"/>
                <w:szCs w:val="14"/>
                <w:color w:val="auto"/>
              </w:rPr>
              <w:t>Hunter Madeley</w:t>
            </w:r>
          </w:p>
        </w:tc>
        <w:tc>
          <w:tcPr>
            <w:tcW w:w="27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200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1420" w:type="dxa"/>
            <w:vAlign w:val="bottom"/>
          </w:tcPr>
          <w:p>
            <w:pPr>
              <w:ind w:left="700"/>
              <w:spacing w:after="0"/>
              <w:rPr>
                <w:sz w:val="20"/>
                <w:szCs w:val="20"/>
                <w:color w:val="auto"/>
              </w:rPr>
            </w:pPr>
            <w:r>
              <w:rPr>
                <w:rFonts w:ascii="Arial" w:cs="Arial" w:eastAsia="Arial" w:hAnsi="Arial"/>
                <w:sz w:val="14"/>
                <w:szCs w:val="14"/>
                <w:color w:val="auto"/>
              </w:rPr>
              <w:t>No change</w:t>
            </w:r>
          </w:p>
        </w:tc>
      </w:tr>
      <w:tr>
        <w:trPr>
          <w:trHeight w:val="176"/>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Dharmesh Shah</w:t>
            </w:r>
          </w:p>
        </w:tc>
        <w:tc>
          <w:tcPr>
            <w:tcW w:w="2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w:t>
            </w:r>
          </w:p>
        </w:tc>
        <w:tc>
          <w:tcPr>
            <w:tcW w:w="20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CFF0FC"/>
          </w:tcPr>
          <w:p>
            <w:pPr>
              <w:ind w:left="700"/>
              <w:spacing w:after="0"/>
              <w:rPr>
                <w:sz w:val="20"/>
                <w:szCs w:val="20"/>
                <w:color w:val="auto"/>
              </w:rPr>
            </w:pPr>
            <w:r>
              <w:rPr>
                <w:rFonts w:ascii="Arial" w:cs="Arial" w:eastAsia="Arial" w:hAnsi="Arial"/>
                <w:sz w:val="14"/>
                <w:szCs w:val="14"/>
                <w:color w:val="auto"/>
              </w:rPr>
              <w:t>No change</w:t>
            </w:r>
          </w:p>
        </w:tc>
      </w:tr>
      <w:tr>
        <w:trPr>
          <w:trHeight w:val="190"/>
        </w:trPr>
        <w:tc>
          <w:tcPr>
            <w:tcW w:w="2780" w:type="dxa"/>
            <w:vAlign w:val="bottom"/>
          </w:tcPr>
          <w:p>
            <w:pPr>
              <w:spacing w:after="0"/>
              <w:rPr>
                <w:sz w:val="20"/>
                <w:szCs w:val="20"/>
                <w:color w:val="auto"/>
              </w:rPr>
            </w:pPr>
            <w:r>
              <w:rPr>
                <w:rFonts w:ascii="Arial" w:cs="Arial" w:eastAsia="Arial" w:hAnsi="Arial"/>
                <w:sz w:val="14"/>
                <w:szCs w:val="14"/>
                <w:color w:val="auto"/>
              </w:rPr>
              <w:t>JD Sherman</w:t>
            </w:r>
          </w:p>
        </w:tc>
        <w:tc>
          <w:tcPr>
            <w:tcW w:w="27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200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1420" w:type="dxa"/>
            <w:vAlign w:val="bottom"/>
          </w:tcPr>
          <w:p>
            <w:pPr>
              <w:ind w:left="700"/>
              <w:spacing w:after="0"/>
              <w:rPr>
                <w:sz w:val="20"/>
                <w:szCs w:val="20"/>
                <w:color w:val="auto"/>
              </w:rPr>
            </w:pPr>
            <w:r>
              <w:rPr>
                <w:rFonts w:ascii="Arial" w:cs="Arial" w:eastAsia="Arial" w:hAnsi="Arial"/>
                <w:sz w:val="14"/>
                <w:szCs w:val="14"/>
                <w:color w:val="auto"/>
              </w:rPr>
              <w:t>No change</w:t>
            </w:r>
          </w:p>
        </w:tc>
      </w:tr>
    </w:tbl>
    <w:p>
      <w:pPr>
        <w:spacing w:after="0" w:line="273"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Target annual cash bonus opportunities were effective as of January 1, 2019.</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2019 Cash Bonus Performance Measures. </w:t>
      </w:r>
      <w:r>
        <w:rPr>
          <w:rFonts w:ascii="Arial" w:cs="Arial" w:eastAsia="Arial" w:hAnsi="Arial"/>
          <w:sz w:val="18"/>
          <w:szCs w:val="18"/>
          <w:color w:val="auto"/>
        </w:rPr>
        <w:t>For 2019, the Compensation Committee selected the following two performance measures: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recurring revenue (“ARR”) install base and (2) non-GAAP operating income (loss). Performance is measured on a cumulative basis biannually as of June 30, 2019 and December 31, 2019. The performance measures are weighted as follows: 70% for ARR and 30% for non-GAAP operating income (loss).</w:t>
      </w:r>
    </w:p>
    <w:p>
      <w:pPr>
        <w:spacing w:after="0" w:line="19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purposes of the Bonus Plan, we define “ARR” as the annual value of our customer subscription contracts as of the specified point in time excluding any commissions owed to our partners. We define “non-GAAP operating income (loss)” as operating income (loss), calculated in accordance with GAAP, excluding our stock-based compensation expense, the amortization of acquired intangibles, and acquisition-related expenses.</w:t>
      </w:r>
    </w:p>
    <w:p>
      <w:pPr>
        <w:spacing w:after="0" w:line="18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b w:val="1"/>
          <w:bCs w:val="1"/>
          <w:i w:val="1"/>
          <w:iCs w:val="1"/>
          <w:color w:val="auto"/>
        </w:rPr>
        <w:t xml:space="preserve">2019 Cash Bonus Performance Targets, Achievement, and Payout. </w:t>
      </w:r>
      <w:r>
        <w:rPr>
          <w:rFonts w:ascii="Arial" w:cs="Arial" w:eastAsia="Arial" w:hAnsi="Arial"/>
          <w:sz w:val="18"/>
          <w:szCs w:val="18"/>
          <w:color w:val="auto"/>
        </w:rPr>
        <w:t>The Compensation Committee believes the targets for the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should be rigorous and challenging. The Compensation Committee establishes target levels it believes are necessary to provide a competitive overall compensation package in light of each named executive officer’s base salary and to motivate our named executive officers to achieve an aggressive level of growth and profitability.</w:t>
      </w:r>
    </w:p>
    <w:p>
      <w:pPr>
        <w:spacing w:after="0" w:line="19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For ARR, the Compensation Committee established payout levels for 50% (minimum payout), 75%, 100% (target payout), 125%, 150%, and 200% (maximum payout) achievement, with a sliding scale applied between each payout level.</w:t>
      </w:r>
    </w:p>
    <w:p>
      <w:pPr>
        <w:spacing w:after="0" w:line="19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For non-GAAP operating income (loss), the Compensation Committee established payout levels for 50% (minimum payout), 75%, and 100% (target/maximum payout) achievement, with a sliding scale applied between each payout level.</w:t>
      </w:r>
    </w:p>
    <w:p>
      <w:pPr>
        <w:spacing w:after="0" w:line="1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Due to the weighting of each performance measure (70% for ARR and 30% for non-GAAP operating income (loss)), the maximum payout is 170% of an executive officer’s total bonus opportunity: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 ARR * 200% Maximum) PLUS (30% non-GAAP operating income (loss) * 100% Maximum)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EQUALS 170% Total Bonus Opportunity</w:t>
      </w:r>
    </w:p>
    <w:p>
      <w:pPr>
        <w:spacing w:after="0" w:line="234" w:lineRule="exact"/>
        <w:rPr>
          <w:sz w:val="20"/>
          <w:szCs w:val="20"/>
          <w:color w:val="auto"/>
        </w:rPr>
      </w:pPr>
    </w:p>
    <w:p>
      <w:pPr>
        <w:ind w:right="1080"/>
        <w:spacing w:after="0" w:line="246" w:lineRule="auto"/>
        <w:rPr>
          <w:sz w:val="20"/>
          <w:szCs w:val="20"/>
          <w:color w:val="auto"/>
        </w:rPr>
      </w:pPr>
      <w:r>
        <w:rPr>
          <w:rFonts w:ascii="Arial" w:cs="Arial" w:eastAsia="Arial" w:hAnsi="Arial"/>
          <w:sz w:val="18"/>
          <w:szCs w:val="18"/>
          <w:color w:val="auto"/>
        </w:rPr>
        <w:t>The table below shows our 2019 ARR and non-GAAP operating income target levels compared to our actual results and related achievement:</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340" w:type="dxa"/>
            <w:vAlign w:val="bottom"/>
            <w:shd w:val="clear" w:color="auto" w:fill="E36F1E"/>
          </w:tcPr>
          <w:p>
            <w:pPr>
              <w:spacing w:after="0"/>
              <w:rPr>
                <w:sz w:val="14"/>
                <w:szCs w:val="14"/>
                <w:color w:val="auto"/>
              </w:rPr>
            </w:pPr>
          </w:p>
        </w:tc>
        <w:tc>
          <w:tcPr>
            <w:tcW w:w="640" w:type="dxa"/>
            <w:vAlign w:val="bottom"/>
            <w:shd w:val="clear" w:color="auto" w:fill="E36F1E"/>
          </w:tcPr>
          <w:p>
            <w:pPr>
              <w:spacing w:after="0"/>
              <w:rPr>
                <w:sz w:val="14"/>
                <w:szCs w:val="14"/>
                <w:color w:val="auto"/>
              </w:rPr>
            </w:pPr>
          </w:p>
        </w:tc>
        <w:tc>
          <w:tcPr>
            <w:tcW w:w="1580" w:type="dxa"/>
            <w:vAlign w:val="bottom"/>
            <w:shd w:val="clear" w:color="auto" w:fill="E36F1E"/>
          </w:tcPr>
          <w:p>
            <w:pPr>
              <w:spacing w:after="0"/>
              <w:rPr>
                <w:sz w:val="14"/>
                <w:szCs w:val="14"/>
                <w:color w:val="auto"/>
              </w:rPr>
            </w:pPr>
          </w:p>
        </w:tc>
        <w:tc>
          <w:tcPr>
            <w:tcW w:w="1600" w:type="dxa"/>
            <w:vAlign w:val="bottom"/>
            <w:shd w:val="clear" w:color="auto" w:fill="E36F1E"/>
          </w:tcPr>
          <w:p>
            <w:pPr>
              <w:spacing w:after="0"/>
              <w:rPr>
                <w:sz w:val="14"/>
                <w:szCs w:val="14"/>
                <w:color w:val="auto"/>
              </w:rPr>
            </w:pPr>
          </w:p>
        </w:tc>
        <w:tc>
          <w:tcPr>
            <w:tcW w:w="1260" w:type="dxa"/>
            <w:vAlign w:val="bottom"/>
            <w:shd w:val="clear" w:color="auto" w:fill="E36F1E"/>
          </w:tcPr>
          <w:p>
            <w:pPr>
              <w:spacing w:after="0"/>
              <w:rPr>
                <w:sz w:val="14"/>
                <w:szCs w:val="14"/>
                <w:color w:val="auto"/>
              </w:rPr>
            </w:pPr>
          </w:p>
        </w:tc>
        <w:tc>
          <w:tcPr>
            <w:tcW w:w="1300" w:type="dxa"/>
            <w:vAlign w:val="bottom"/>
            <w:gridSpan w:val="2"/>
            <w:shd w:val="clear" w:color="auto" w:fill="E36F1E"/>
          </w:tcPr>
          <w:p>
            <w:pPr>
              <w:jc w:val="center"/>
              <w:ind w:right="180"/>
              <w:spacing w:after="0"/>
              <w:rPr>
                <w:sz w:val="20"/>
                <w:szCs w:val="20"/>
                <w:color w:val="auto"/>
              </w:rPr>
            </w:pPr>
            <w:r>
              <w:rPr>
                <w:rFonts w:ascii="Arial" w:cs="Arial" w:eastAsia="Arial" w:hAnsi="Arial"/>
                <w:sz w:val="14"/>
                <w:szCs w:val="14"/>
                <w:b w:val="1"/>
                <w:bCs w:val="1"/>
                <w:color w:val="FFFFFF"/>
              </w:rPr>
              <w:t>Payout</w:t>
            </w:r>
          </w:p>
        </w:tc>
      </w:tr>
      <w:tr>
        <w:trPr>
          <w:trHeight w:val="162"/>
        </w:trPr>
        <w:tc>
          <w:tcPr>
            <w:tcW w:w="4340" w:type="dxa"/>
            <w:vAlign w:val="bottom"/>
            <w:shd w:val="clear" w:color="auto" w:fill="E36F1E"/>
          </w:tcPr>
          <w:p>
            <w:pPr>
              <w:spacing w:after="0"/>
              <w:rPr>
                <w:sz w:val="14"/>
                <w:szCs w:val="14"/>
                <w:color w:val="auto"/>
              </w:rPr>
            </w:pPr>
          </w:p>
        </w:tc>
        <w:tc>
          <w:tcPr>
            <w:tcW w:w="640" w:type="dxa"/>
            <w:vAlign w:val="bottom"/>
            <w:shd w:val="clear" w:color="auto" w:fill="E36F1E"/>
          </w:tcPr>
          <w:p>
            <w:pPr>
              <w:spacing w:after="0"/>
              <w:rPr>
                <w:sz w:val="14"/>
                <w:szCs w:val="14"/>
                <w:color w:val="auto"/>
              </w:rPr>
            </w:pPr>
          </w:p>
        </w:tc>
        <w:tc>
          <w:tcPr>
            <w:tcW w:w="1580" w:type="dxa"/>
            <w:vAlign w:val="bottom"/>
            <w:shd w:val="clear" w:color="auto" w:fill="E36F1E"/>
          </w:tcPr>
          <w:p>
            <w:pPr>
              <w:spacing w:after="0"/>
              <w:rPr>
                <w:sz w:val="14"/>
                <w:szCs w:val="14"/>
                <w:color w:val="auto"/>
              </w:rPr>
            </w:pPr>
          </w:p>
        </w:tc>
        <w:tc>
          <w:tcPr>
            <w:tcW w:w="1600" w:type="dxa"/>
            <w:vAlign w:val="bottom"/>
            <w:shd w:val="clear" w:color="auto" w:fill="E36F1E"/>
          </w:tcPr>
          <w:p>
            <w:pPr>
              <w:spacing w:after="0"/>
              <w:rPr>
                <w:sz w:val="14"/>
                <w:szCs w:val="14"/>
                <w:color w:val="auto"/>
              </w:rPr>
            </w:pPr>
          </w:p>
        </w:tc>
        <w:tc>
          <w:tcPr>
            <w:tcW w:w="1260" w:type="dxa"/>
            <w:vAlign w:val="bottom"/>
            <w:shd w:val="clear" w:color="auto" w:fill="E36F1E"/>
          </w:tcPr>
          <w:p>
            <w:pPr>
              <w:spacing w:after="0"/>
              <w:rPr>
                <w:sz w:val="14"/>
                <w:szCs w:val="14"/>
                <w:color w:val="auto"/>
              </w:rPr>
            </w:pPr>
          </w:p>
        </w:tc>
        <w:tc>
          <w:tcPr>
            <w:tcW w:w="1300" w:type="dxa"/>
            <w:vAlign w:val="bottom"/>
            <w:gridSpan w:val="2"/>
            <w:shd w:val="clear" w:color="auto" w:fill="E36F1E"/>
          </w:tcPr>
          <w:p>
            <w:pPr>
              <w:jc w:val="center"/>
              <w:ind w:right="160"/>
              <w:spacing w:after="0"/>
              <w:rPr>
                <w:sz w:val="20"/>
                <w:szCs w:val="20"/>
                <w:color w:val="auto"/>
              </w:rPr>
            </w:pPr>
            <w:r>
              <w:rPr>
                <w:rFonts w:ascii="Arial" w:cs="Arial" w:eastAsia="Arial" w:hAnsi="Arial"/>
                <w:sz w:val="14"/>
                <w:szCs w:val="14"/>
                <w:b w:val="1"/>
                <w:bCs w:val="1"/>
                <w:color w:val="FFFFFF"/>
              </w:rPr>
              <w:t>(Score x</w:t>
            </w:r>
          </w:p>
        </w:tc>
      </w:tr>
      <w:tr>
        <w:trPr>
          <w:trHeight w:val="175"/>
        </w:trPr>
        <w:tc>
          <w:tcPr>
            <w:tcW w:w="4340" w:type="dxa"/>
            <w:vAlign w:val="bottom"/>
            <w:shd w:val="clear" w:color="auto" w:fill="E36F1E"/>
          </w:tcPr>
          <w:p>
            <w:pPr>
              <w:ind w:left="3760"/>
              <w:spacing w:after="0"/>
              <w:rPr>
                <w:sz w:val="20"/>
                <w:szCs w:val="20"/>
                <w:color w:val="auto"/>
              </w:rPr>
            </w:pPr>
            <w:r>
              <w:rPr>
                <w:rFonts w:ascii="Arial" w:cs="Arial" w:eastAsia="Arial" w:hAnsi="Arial"/>
                <w:sz w:val="14"/>
                <w:szCs w:val="14"/>
                <w:b w:val="1"/>
                <w:bCs w:val="1"/>
                <w:color w:val="FFFFFF"/>
              </w:rPr>
              <w:t>Weight</w:t>
            </w:r>
          </w:p>
        </w:tc>
        <w:tc>
          <w:tcPr>
            <w:tcW w:w="640" w:type="dxa"/>
            <w:vAlign w:val="bottom"/>
            <w:shd w:val="clear" w:color="auto" w:fill="E36F1E"/>
          </w:tcPr>
          <w:p>
            <w:pPr>
              <w:spacing w:after="0"/>
              <w:rPr>
                <w:sz w:val="15"/>
                <w:szCs w:val="15"/>
                <w:color w:val="auto"/>
              </w:rPr>
            </w:pPr>
          </w:p>
        </w:tc>
        <w:tc>
          <w:tcPr>
            <w:tcW w:w="1580" w:type="dxa"/>
            <w:vAlign w:val="bottom"/>
            <w:shd w:val="clear" w:color="auto" w:fill="E36F1E"/>
          </w:tcPr>
          <w:p>
            <w:pPr>
              <w:jc w:val="right"/>
              <w:ind w:right="688"/>
              <w:spacing w:after="0"/>
              <w:rPr>
                <w:sz w:val="20"/>
                <w:szCs w:val="20"/>
                <w:color w:val="auto"/>
              </w:rPr>
            </w:pPr>
            <w:r>
              <w:rPr>
                <w:rFonts w:ascii="Arial" w:cs="Arial" w:eastAsia="Arial" w:hAnsi="Arial"/>
                <w:sz w:val="14"/>
                <w:szCs w:val="14"/>
                <w:b w:val="1"/>
                <w:bCs w:val="1"/>
                <w:color w:val="FFFFFF"/>
              </w:rPr>
              <w:t>Target</w:t>
            </w:r>
          </w:p>
        </w:tc>
        <w:tc>
          <w:tcPr>
            <w:tcW w:w="1600" w:type="dxa"/>
            <w:vAlign w:val="bottom"/>
            <w:shd w:val="clear" w:color="auto" w:fill="E36F1E"/>
          </w:tcPr>
          <w:p>
            <w:pPr>
              <w:jc w:val="right"/>
              <w:ind w:right="708"/>
              <w:spacing w:after="0"/>
              <w:rPr>
                <w:sz w:val="20"/>
                <w:szCs w:val="20"/>
                <w:color w:val="auto"/>
              </w:rPr>
            </w:pPr>
            <w:r>
              <w:rPr>
                <w:rFonts w:ascii="Arial" w:cs="Arial" w:eastAsia="Arial" w:hAnsi="Arial"/>
                <w:sz w:val="14"/>
                <w:szCs w:val="14"/>
                <w:b w:val="1"/>
                <w:bCs w:val="1"/>
                <w:color w:val="FFFFFF"/>
              </w:rPr>
              <w:t>Actual</w:t>
            </w:r>
          </w:p>
        </w:tc>
        <w:tc>
          <w:tcPr>
            <w:tcW w:w="1260" w:type="dxa"/>
            <w:vAlign w:val="bottom"/>
            <w:shd w:val="clear" w:color="auto" w:fill="E36F1E"/>
          </w:tcPr>
          <w:p>
            <w:pPr>
              <w:jc w:val="right"/>
              <w:ind w:right="488"/>
              <w:spacing w:after="0"/>
              <w:rPr>
                <w:sz w:val="20"/>
                <w:szCs w:val="20"/>
                <w:color w:val="auto"/>
              </w:rPr>
            </w:pPr>
            <w:r>
              <w:rPr>
                <w:rFonts w:ascii="Arial" w:cs="Arial" w:eastAsia="Arial" w:hAnsi="Arial"/>
                <w:sz w:val="14"/>
                <w:szCs w:val="14"/>
                <w:b w:val="1"/>
                <w:bCs w:val="1"/>
                <w:color w:val="FFFFFF"/>
              </w:rPr>
              <w:t>Score</w:t>
            </w:r>
          </w:p>
        </w:tc>
        <w:tc>
          <w:tcPr>
            <w:tcW w:w="1300" w:type="dxa"/>
            <w:vAlign w:val="bottom"/>
            <w:gridSpan w:val="2"/>
            <w:shd w:val="clear" w:color="auto" w:fill="E36F1E"/>
          </w:tcPr>
          <w:p>
            <w:pPr>
              <w:jc w:val="center"/>
              <w:ind w:right="160"/>
              <w:spacing w:after="0"/>
              <w:rPr>
                <w:sz w:val="20"/>
                <w:szCs w:val="20"/>
                <w:color w:val="auto"/>
              </w:rPr>
            </w:pPr>
            <w:r>
              <w:rPr>
                <w:rFonts w:ascii="Arial" w:cs="Arial" w:eastAsia="Arial" w:hAnsi="Arial"/>
                <w:sz w:val="14"/>
                <w:szCs w:val="14"/>
                <w:b w:val="1"/>
                <w:bCs w:val="1"/>
                <w:color w:val="FFFFFF"/>
              </w:rPr>
              <w:t>Weight)</w:t>
            </w:r>
          </w:p>
        </w:tc>
      </w:tr>
      <w:tr>
        <w:trPr>
          <w:trHeight w:val="175"/>
        </w:trPr>
        <w:tc>
          <w:tcPr>
            <w:tcW w:w="43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2019 – First Half (as of June 30, 2019)</w:t>
            </w:r>
          </w:p>
        </w:tc>
        <w:tc>
          <w:tcPr>
            <w:tcW w:w="6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175"/>
        </w:trPr>
        <w:tc>
          <w:tcPr>
            <w:tcW w:w="4340" w:type="dxa"/>
            <w:vAlign w:val="bottom"/>
          </w:tcPr>
          <w:p>
            <w:pPr>
              <w:spacing w:after="0"/>
              <w:rPr>
                <w:sz w:val="20"/>
                <w:szCs w:val="20"/>
                <w:color w:val="auto"/>
              </w:rPr>
            </w:pPr>
            <w:r>
              <w:rPr>
                <w:rFonts w:ascii="Arial" w:cs="Arial" w:eastAsia="Arial" w:hAnsi="Arial"/>
                <w:sz w:val="14"/>
                <w:szCs w:val="14"/>
                <w:color w:val="auto"/>
              </w:rPr>
              <w:t>ARR Install Base</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70%</w:t>
            </w:r>
          </w:p>
        </w:tc>
        <w:tc>
          <w:tcPr>
            <w:tcW w:w="1580" w:type="dxa"/>
            <w:vAlign w:val="bottom"/>
          </w:tcPr>
          <w:p>
            <w:pPr>
              <w:jc w:val="right"/>
              <w:ind w:right="188"/>
              <w:spacing w:after="0"/>
              <w:rPr>
                <w:sz w:val="20"/>
                <w:szCs w:val="20"/>
                <w:color w:val="auto"/>
              </w:rPr>
            </w:pPr>
            <w:r>
              <w:rPr>
                <w:rFonts w:ascii="Arial" w:cs="Arial" w:eastAsia="Arial" w:hAnsi="Arial"/>
                <w:sz w:val="14"/>
                <w:szCs w:val="14"/>
                <w:color w:val="auto"/>
              </w:rPr>
              <w:t>$649.853 million</w:t>
            </w: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$648.526 million</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95.6%</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66.9%</w:t>
            </w:r>
          </w:p>
        </w:tc>
      </w:tr>
      <w:tr>
        <w:trPr>
          <w:trHeight w:val="175"/>
        </w:trPr>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Non-GAAP Operating Income</w:t>
            </w:r>
          </w:p>
        </w:tc>
        <w:tc>
          <w:tcPr>
            <w:tcW w:w="6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30%</w:t>
            </w:r>
          </w:p>
        </w:tc>
        <w:tc>
          <w:tcPr>
            <w:tcW w:w="15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$19.000 million</w:t>
            </w:r>
          </w:p>
        </w:tc>
        <w:tc>
          <w:tcPr>
            <w:tcW w:w="160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$26.773 million</w:t>
            </w:r>
          </w:p>
        </w:tc>
        <w:tc>
          <w:tcPr>
            <w:tcW w:w="1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30.0%</w:t>
            </w:r>
          </w:p>
        </w:tc>
      </w:tr>
      <w:tr>
        <w:trPr>
          <w:trHeight w:val="20"/>
        </w:trPr>
        <w:tc>
          <w:tcPr>
            <w:tcW w:w="4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96.9%</w:t>
            </w:r>
          </w:p>
        </w:tc>
      </w:tr>
      <w:tr>
        <w:trPr>
          <w:trHeight w:val="156"/>
        </w:trPr>
        <w:tc>
          <w:tcPr>
            <w:tcW w:w="43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580" w:type="dxa"/>
            <w:vAlign w:val="bottom"/>
            <w:tcBorders>
              <w:top w:val="single" w:sz="8" w:color="CFF0FC"/>
            </w:tcBorders>
            <w:shd w:val="clear" w:color="auto" w:fill="CFF0FC"/>
          </w:tcPr>
          <w:p>
            <w:pPr>
              <w:spacing w:after="0"/>
              <w:rPr>
                <w:sz w:val="13"/>
                <w:szCs w:val="13"/>
                <w:color w:val="auto"/>
              </w:rPr>
            </w:pPr>
          </w:p>
        </w:tc>
        <w:tc>
          <w:tcPr>
            <w:tcW w:w="160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r>
      <w:tr>
        <w:trPr>
          <w:trHeight w:val="175"/>
        </w:trPr>
        <w:tc>
          <w:tcPr>
            <w:tcW w:w="4340" w:type="dxa"/>
            <w:vAlign w:val="bottom"/>
          </w:tcPr>
          <w:p>
            <w:pPr>
              <w:spacing w:after="0"/>
              <w:rPr>
                <w:sz w:val="20"/>
                <w:szCs w:val="20"/>
                <w:color w:val="auto"/>
              </w:rPr>
            </w:pPr>
            <w:r>
              <w:rPr>
                <w:rFonts w:ascii="Arial" w:cs="Arial" w:eastAsia="Arial" w:hAnsi="Arial"/>
                <w:sz w:val="14"/>
                <w:szCs w:val="14"/>
                <w:b w:val="1"/>
                <w:bCs w:val="1"/>
                <w:color w:val="auto"/>
              </w:rPr>
              <w:t>2019 – Second Half (as of December 31, 2019)</w:t>
            </w: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ARR Install Base</w:t>
            </w:r>
          </w:p>
        </w:tc>
        <w:tc>
          <w:tcPr>
            <w:tcW w:w="6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70%</w:t>
            </w:r>
          </w:p>
        </w:tc>
        <w:tc>
          <w:tcPr>
            <w:tcW w:w="15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$755.268 million</w:t>
            </w:r>
          </w:p>
        </w:tc>
        <w:tc>
          <w:tcPr>
            <w:tcW w:w="160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$752.334 million</w:t>
            </w:r>
          </w:p>
        </w:tc>
        <w:tc>
          <w:tcPr>
            <w:tcW w:w="1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95.7%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67.0%</w:t>
            </w:r>
          </w:p>
        </w:tc>
      </w:tr>
      <w:tr>
        <w:trPr>
          <w:trHeight w:val="175"/>
        </w:trPr>
        <w:tc>
          <w:tcPr>
            <w:tcW w:w="4340" w:type="dxa"/>
            <w:vAlign w:val="bottom"/>
          </w:tcPr>
          <w:p>
            <w:pPr>
              <w:spacing w:after="0"/>
              <w:rPr>
                <w:sz w:val="20"/>
                <w:szCs w:val="20"/>
                <w:color w:val="auto"/>
              </w:rPr>
            </w:pPr>
            <w:r>
              <w:rPr>
                <w:rFonts w:ascii="Arial" w:cs="Arial" w:eastAsia="Arial" w:hAnsi="Arial"/>
                <w:sz w:val="14"/>
                <w:szCs w:val="14"/>
                <w:color w:val="auto"/>
              </w:rPr>
              <w:t>Non-GAAP Operating Income</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30%</w:t>
            </w:r>
          </w:p>
        </w:tc>
        <w:tc>
          <w:tcPr>
            <w:tcW w:w="1580" w:type="dxa"/>
            <w:vAlign w:val="bottom"/>
          </w:tcPr>
          <w:p>
            <w:pPr>
              <w:jc w:val="right"/>
              <w:ind w:right="188"/>
              <w:spacing w:after="0"/>
              <w:rPr>
                <w:sz w:val="20"/>
                <w:szCs w:val="20"/>
                <w:color w:val="auto"/>
              </w:rPr>
            </w:pPr>
            <w:r>
              <w:rPr>
                <w:rFonts w:ascii="Arial" w:cs="Arial" w:eastAsia="Arial" w:hAnsi="Arial"/>
                <w:sz w:val="14"/>
                <w:szCs w:val="14"/>
                <w:color w:val="auto"/>
              </w:rPr>
              <w:t>$48.600 million</w:t>
            </w: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$54.900 million</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30.0%</w:t>
            </w:r>
          </w:p>
        </w:tc>
      </w:tr>
      <w:tr>
        <w:trPr>
          <w:trHeight w:val="20"/>
        </w:trPr>
        <w:tc>
          <w:tcPr>
            <w:tcW w:w="43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69"/>
        </w:trPr>
        <w:tc>
          <w:tcPr>
            <w:tcW w:w="4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97.0%</w:t>
            </w: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For the six-month period ended June 30, 2019, we achieved 95.6% of the ARR target level of $649.853 million. Our non-GAAP operating income exceeded the target level of $19.000 million. The achievement of the performance measures for the first half of 2019 was equal to 96.9% of the target annual cash bonus opportunity for that six-month period.</w:t>
      </w:r>
    </w:p>
    <w:p>
      <w:pPr>
        <w:spacing w:after="0" w:line="20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For the six-month period ended December 31, 2019, we achieved 95.7% of the ARR target level of $755.268 million. Our non-GAAP operating income exceeded the target level of $48.600 million. The achievement of the performance measures for the second half of 2019 was equal to 97.0% of the target annual cash bonus opportunity for that six-month period.</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Pursuant to its authority under the Bonus Plan, the Compensation Committee, in its sole discretion, approved a multiplier of 1.05x (the “Customer First Multiplier”) to be applied to the final achievement of the financial performance measures for the second half of 2019 in recognition of our effort and success in executing on our “Customer First” initiative during 2019, including improving our customer net promoter score. As a result, the Compensation Committee approved a final payout for the second half of 2019 equal to 101.85% (i.e., 97.0% as calculated above multiplied by the Customer First Multiplier) of the target annual cash bonus opportunity for that six-month period.</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ind w:right="240"/>
        <w:spacing w:after="0" w:line="246" w:lineRule="auto"/>
        <w:rPr>
          <w:sz w:val="20"/>
          <w:szCs w:val="20"/>
          <w:color w:val="auto"/>
        </w:rPr>
      </w:pPr>
      <w:r>
        <w:rPr>
          <w:rFonts w:ascii="Arial" w:cs="Arial" w:eastAsia="Arial" w:hAnsi="Arial"/>
          <w:sz w:val="18"/>
          <w:szCs w:val="18"/>
          <w:color w:val="auto"/>
        </w:rPr>
        <w:t>The above-referenced performance targets should not be interpreted as a prediction of how we will perform in future periods. As described below, the purpose of these objectives was to establish a method for determining the payment of annual cash bonuses.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cash bonuses paid to the named executive officers for 2019 under the Bonus Plan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shd w:val="clear" w:color="auto" w:fill="E36F1E"/>
          </w:tcPr>
          <w:p>
            <w:pPr>
              <w:spacing w:after="0"/>
              <w:rPr>
                <w:sz w:val="14"/>
                <w:szCs w:val="14"/>
                <w:color w:val="auto"/>
              </w:rPr>
            </w:pPr>
          </w:p>
        </w:tc>
        <w:tc>
          <w:tcPr>
            <w:tcW w:w="3380" w:type="dxa"/>
            <w:vAlign w:val="bottom"/>
            <w:shd w:val="clear" w:color="auto" w:fill="E36F1E"/>
          </w:tcPr>
          <w:p>
            <w:pPr>
              <w:jc w:val="right"/>
              <w:ind w:right="908"/>
              <w:spacing w:after="0"/>
              <w:rPr>
                <w:sz w:val="20"/>
                <w:szCs w:val="20"/>
                <w:color w:val="auto"/>
              </w:rPr>
            </w:pPr>
            <w:r>
              <w:rPr>
                <w:rFonts w:ascii="Arial" w:cs="Arial" w:eastAsia="Arial" w:hAnsi="Arial"/>
                <w:sz w:val="14"/>
                <w:szCs w:val="14"/>
                <w:b w:val="1"/>
                <w:bCs w:val="1"/>
                <w:color w:val="FFFFFF"/>
              </w:rPr>
              <w:t>First Half 2019</w:t>
            </w:r>
          </w:p>
        </w:tc>
        <w:tc>
          <w:tcPr>
            <w:tcW w:w="2620" w:type="dxa"/>
            <w:vAlign w:val="bottom"/>
            <w:shd w:val="clear" w:color="auto" w:fill="E36F1E"/>
          </w:tcPr>
          <w:p>
            <w:pPr>
              <w:jc w:val="right"/>
              <w:ind w:right="848"/>
              <w:spacing w:after="0"/>
              <w:rPr>
                <w:sz w:val="20"/>
                <w:szCs w:val="20"/>
                <w:color w:val="auto"/>
              </w:rPr>
            </w:pPr>
            <w:r>
              <w:rPr>
                <w:rFonts w:ascii="Arial" w:cs="Arial" w:eastAsia="Arial" w:hAnsi="Arial"/>
                <w:sz w:val="14"/>
                <w:szCs w:val="14"/>
                <w:b w:val="1"/>
                <w:bCs w:val="1"/>
                <w:color w:val="FFFFFF"/>
              </w:rPr>
              <w:t>Second Half 2019</w:t>
            </w:r>
          </w:p>
        </w:tc>
        <w:tc>
          <w:tcPr>
            <w:tcW w:w="2280" w:type="dxa"/>
            <w:vAlign w:val="bottom"/>
            <w:shd w:val="clear" w:color="auto" w:fill="E36F1E"/>
          </w:tcPr>
          <w:p>
            <w:pPr>
              <w:jc w:val="right"/>
              <w:ind w:right="808"/>
              <w:spacing w:after="0"/>
              <w:rPr>
                <w:sz w:val="20"/>
                <w:szCs w:val="20"/>
                <w:color w:val="auto"/>
              </w:rPr>
            </w:pPr>
            <w:r>
              <w:rPr>
                <w:rFonts w:ascii="Arial" w:cs="Arial" w:eastAsia="Arial" w:hAnsi="Arial"/>
                <w:sz w:val="14"/>
                <w:szCs w:val="14"/>
                <w:b w:val="1"/>
                <w:bCs w:val="1"/>
                <w:color w:val="FFFFFF"/>
              </w:rPr>
              <w:t>2019 Total</w:t>
            </w:r>
          </w:p>
        </w:tc>
      </w:tr>
      <w:tr>
        <w:trPr>
          <w:trHeight w:val="175"/>
        </w:trPr>
        <w:tc>
          <w:tcPr>
            <w:tcW w:w="296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3380" w:type="dxa"/>
            <w:vAlign w:val="bottom"/>
            <w:shd w:val="clear" w:color="auto" w:fill="E36F1E"/>
          </w:tcPr>
          <w:p>
            <w:pPr>
              <w:jc w:val="right"/>
              <w:ind w:right="748"/>
              <w:spacing w:after="0"/>
              <w:rPr>
                <w:sz w:val="20"/>
                <w:szCs w:val="20"/>
                <w:color w:val="auto"/>
              </w:rPr>
            </w:pPr>
            <w:r>
              <w:rPr>
                <w:rFonts w:ascii="Arial" w:cs="Arial" w:eastAsia="Arial" w:hAnsi="Arial"/>
                <w:sz w:val="14"/>
                <w:szCs w:val="14"/>
                <w:b w:val="1"/>
                <w:bCs w:val="1"/>
                <w:color w:val="FFFFFF"/>
              </w:rPr>
              <w:t>Bonus Payment ($)</w:t>
            </w:r>
          </w:p>
        </w:tc>
        <w:tc>
          <w:tcPr>
            <w:tcW w:w="2620" w:type="dxa"/>
            <w:vAlign w:val="bottom"/>
            <w:shd w:val="clear" w:color="auto" w:fill="E36F1E"/>
          </w:tcPr>
          <w:p>
            <w:pPr>
              <w:jc w:val="right"/>
              <w:ind w:right="708"/>
              <w:spacing w:after="0"/>
              <w:rPr>
                <w:sz w:val="20"/>
                <w:szCs w:val="20"/>
                <w:color w:val="auto"/>
              </w:rPr>
            </w:pPr>
            <w:r>
              <w:rPr>
                <w:rFonts w:ascii="Arial" w:cs="Arial" w:eastAsia="Arial" w:hAnsi="Arial"/>
                <w:sz w:val="14"/>
                <w:szCs w:val="14"/>
                <w:b w:val="1"/>
                <w:bCs w:val="1"/>
                <w:color w:val="FFFFFF"/>
              </w:rPr>
              <w:t>Bonus Payment ($)(1)</w:t>
            </w:r>
          </w:p>
        </w:tc>
        <w:tc>
          <w:tcPr>
            <w:tcW w:w="2280" w:type="dxa"/>
            <w:vAlign w:val="bottom"/>
            <w:shd w:val="clear" w:color="auto" w:fill="E36F1E"/>
          </w:tcPr>
          <w:p>
            <w:pPr>
              <w:jc w:val="right"/>
              <w:ind w:right="508"/>
              <w:spacing w:after="0"/>
              <w:rPr>
                <w:sz w:val="20"/>
                <w:szCs w:val="20"/>
                <w:color w:val="auto"/>
              </w:rPr>
            </w:pPr>
            <w:r>
              <w:rPr>
                <w:rFonts w:ascii="Arial" w:cs="Arial" w:eastAsia="Arial" w:hAnsi="Arial"/>
                <w:sz w:val="14"/>
                <w:szCs w:val="14"/>
                <w:b w:val="1"/>
                <w:bCs w:val="1"/>
                <w:color w:val="FFFFFF"/>
              </w:rPr>
              <w:t>Bonus Payment ($)</w:t>
            </w:r>
          </w:p>
        </w:tc>
      </w:tr>
      <w:tr>
        <w:trPr>
          <w:trHeight w:val="176"/>
        </w:trPr>
        <w:tc>
          <w:tcPr>
            <w:tcW w:w="2960" w:type="dxa"/>
            <w:vAlign w:val="bottom"/>
            <w:shd w:val="clear" w:color="auto" w:fill="CFF0FC"/>
          </w:tcPr>
          <w:p>
            <w:pPr>
              <w:spacing w:after="0"/>
              <w:rPr>
                <w:sz w:val="20"/>
                <w:szCs w:val="20"/>
                <w:color w:val="auto"/>
              </w:rPr>
            </w:pPr>
            <w:r>
              <w:rPr>
                <w:rFonts w:ascii="Arial" w:cs="Arial" w:eastAsia="Arial" w:hAnsi="Arial"/>
                <w:sz w:val="14"/>
                <w:szCs w:val="14"/>
                <w:color w:val="auto"/>
              </w:rPr>
              <w:t>Brian Halligan (2)</w:t>
            </w:r>
          </w:p>
        </w:tc>
        <w:tc>
          <w:tcPr>
            <w:tcW w:w="338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62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2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2960" w:type="dxa"/>
            <w:vAlign w:val="bottom"/>
          </w:tcPr>
          <w:p>
            <w:pPr>
              <w:spacing w:after="0"/>
              <w:rPr>
                <w:sz w:val="20"/>
                <w:szCs w:val="20"/>
                <w:color w:val="auto"/>
              </w:rPr>
            </w:pPr>
            <w:r>
              <w:rPr>
                <w:rFonts w:ascii="Arial" w:cs="Arial" w:eastAsia="Arial" w:hAnsi="Arial"/>
                <w:sz w:val="14"/>
                <w:szCs w:val="14"/>
                <w:color w:val="auto"/>
              </w:rPr>
              <w:t>Kate Bueker</w:t>
            </w:r>
          </w:p>
        </w:tc>
        <w:tc>
          <w:tcPr>
            <w:tcW w:w="3380" w:type="dxa"/>
            <w:vAlign w:val="bottom"/>
          </w:tcPr>
          <w:p>
            <w:pPr>
              <w:jc w:val="right"/>
              <w:ind w:right="288"/>
              <w:spacing w:after="0"/>
              <w:rPr>
                <w:sz w:val="20"/>
                <w:szCs w:val="20"/>
                <w:color w:val="auto"/>
              </w:rPr>
            </w:pPr>
            <w:r>
              <w:rPr>
                <w:rFonts w:ascii="Arial" w:cs="Arial" w:eastAsia="Arial" w:hAnsi="Arial"/>
                <w:sz w:val="14"/>
                <w:szCs w:val="14"/>
                <w:color w:val="auto"/>
              </w:rPr>
              <w:t>101,327</w:t>
            </w:r>
          </w:p>
        </w:tc>
        <w:tc>
          <w:tcPr>
            <w:tcW w:w="2620" w:type="dxa"/>
            <w:vAlign w:val="bottom"/>
          </w:tcPr>
          <w:p>
            <w:pPr>
              <w:jc w:val="right"/>
              <w:ind w:right="348"/>
              <w:spacing w:after="0"/>
              <w:rPr>
                <w:sz w:val="20"/>
                <w:szCs w:val="20"/>
                <w:color w:val="auto"/>
              </w:rPr>
            </w:pPr>
            <w:r>
              <w:rPr>
                <w:rFonts w:ascii="Arial" w:cs="Arial" w:eastAsia="Arial" w:hAnsi="Arial"/>
                <w:sz w:val="14"/>
                <w:szCs w:val="14"/>
                <w:color w:val="auto"/>
              </w:rPr>
              <w:t>107,844</w:t>
            </w: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209,171</w:t>
            </w:r>
          </w:p>
        </w:tc>
      </w:tr>
      <w:tr>
        <w:trPr>
          <w:trHeight w:val="176"/>
        </w:trPr>
        <w:tc>
          <w:tcPr>
            <w:tcW w:w="296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338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78,580</w:t>
            </w:r>
          </w:p>
        </w:tc>
        <w:tc>
          <w:tcPr>
            <w:tcW w:w="262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84,939</w:t>
            </w:r>
          </w:p>
        </w:tc>
        <w:tc>
          <w:tcPr>
            <w:tcW w:w="2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163,519</w:t>
            </w:r>
          </w:p>
        </w:tc>
      </w:tr>
      <w:tr>
        <w:trPr>
          <w:trHeight w:val="175"/>
        </w:trPr>
        <w:tc>
          <w:tcPr>
            <w:tcW w:w="2960" w:type="dxa"/>
            <w:vAlign w:val="bottom"/>
          </w:tcPr>
          <w:p>
            <w:pPr>
              <w:spacing w:after="0"/>
              <w:rPr>
                <w:sz w:val="20"/>
                <w:szCs w:val="20"/>
                <w:color w:val="auto"/>
              </w:rPr>
            </w:pPr>
            <w:r>
              <w:rPr>
                <w:rFonts w:ascii="Arial" w:cs="Arial" w:eastAsia="Arial" w:hAnsi="Arial"/>
                <w:sz w:val="14"/>
                <w:szCs w:val="14"/>
                <w:color w:val="auto"/>
              </w:rPr>
              <w:t>Hunter Madeley (3)</w:t>
            </w:r>
          </w:p>
        </w:tc>
        <w:tc>
          <w:tcPr>
            <w:tcW w:w="3380" w:type="dxa"/>
            <w:vAlign w:val="bottom"/>
          </w:tcPr>
          <w:p>
            <w:pPr>
              <w:jc w:val="right"/>
              <w:ind w:right="288"/>
              <w:spacing w:after="0"/>
              <w:rPr>
                <w:sz w:val="20"/>
                <w:szCs w:val="20"/>
                <w:color w:val="auto"/>
              </w:rPr>
            </w:pPr>
            <w:r>
              <w:rPr>
                <w:rFonts w:ascii="Arial" w:cs="Arial" w:eastAsia="Arial" w:hAnsi="Arial"/>
                <w:sz w:val="14"/>
                <w:szCs w:val="14"/>
                <w:color w:val="auto"/>
              </w:rPr>
              <w:t>98,248</w:t>
            </w:r>
          </w:p>
        </w:tc>
        <w:tc>
          <w:tcPr>
            <w:tcW w:w="2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98,248</w:t>
            </w:r>
          </w:p>
        </w:tc>
      </w:tr>
      <w:tr>
        <w:trPr>
          <w:trHeight w:val="176"/>
        </w:trPr>
        <w:tc>
          <w:tcPr>
            <w:tcW w:w="2960" w:type="dxa"/>
            <w:vAlign w:val="bottom"/>
            <w:shd w:val="clear" w:color="auto" w:fill="CFF0FC"/>
          </w:tcPr>
          <w:p>
            <w:pPr>
              <w:spacing w:after="0"/>
              <w:rPr>
                <w:sz w:val="20"/>
                <w:szCs w:val="20"/>
                <w:color w:val="auto"/>
              </w:rPr>
            </w:pPr>
            <w:r>
              <w:rPr>
                <w:rFonts w:ascii="Arial" w:cs="Arial" w:eastAsia="Arial" w:hAnsi="Arial"/>
                <w:sz w:val="14"/>
                <w:szCs w:val="14"/>
                <w:color w:val="auto"/>
              </w:rPr>
              <w:t>Dharmesh Shah (2)</w:t>
            </w:r>
          </w:p>
        </w:tc>
        <w:tc>
          <w:tcPr>
            <w:tcW w:w="338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62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2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90"/>
        </w:trPr>
        <w:tc>
          <w:tcPr>
            <w:tcW w:w="2960" w:type="dxa"/>
            <w:vAlign w:val="bottom"/>
          </w:tcPr>
          <w:p>
            <w:pPr>
              <w:spacing w:after="0"/>
              <w:rPr>
                <w:sz w:val="20"/>
                <w:szCs w:val="20"/>
                <w:color w:val="auto"/>
              </w:rPr>
            </w:pPr>
            <w:r>
              <w:rPr>
                <w:rFonts w:ascii="Arial" w:cs="Arial" w:eastAsia="Arial" w:hAnsi="Arial"/>
                <w:sz w:val="14"/>
                <w:szCs w:val="14"/>
                <w:color w:val="auto"/>
              </w:rPr>
              <w:t>JD Sherman</w:t>
            </w:r>
          </w:p>
        </w:tc>
        <w:tc>
          <w:tcPr>
            <w:tcW w:w="3380" w:type="dxa"/>
            <w:vAlign w:val="bottom"/>
          </w:tcPr>
          <w:p>
            <w:pPr>
              <w:jc w:val="right"/>
              <w:ind w:right="288"/>
              <w:spacing w:after="0"/>
              <w:rPr>
                <w:sz w:val="20"/>
                <w:szCs w:val="20"/>
                <w:color w:val="auto"/>
              </w:rPr>
            </w:pPr>
            <w:r>
              <w:rPr>
                <w:rFonts w:ascii="Arial" w:cs="Arial" w:eastAsia="Arial" w:hAnsi="Arial"/>
                <w:sz w:val="14"/>
                <w:szCs w:val="14"/>
                <w:color w:val="auto"/>
              </w:rPr>
              <w:t>112,283</w:t>
            </w:r>
          </w:p>
        </w:tc>
        <w:tc>
          <w:tcPr>
            <w:tcW w:w="2620" w:type="dxa"/>
            <w:vAlign w:val="bottom"/>
          </w:tcPr>
          <w:p>
            <w:pPr>
              <w:jc w:val="right"/>
              <w:ind w:right="348"/>
              <w:spacing w:after="0"/>
              <w:rPr>
                <w:sz w:val="20"/>
                <w:szCs w:val="20"/>
                <w:color w:val="auto"/>
              </w:rPr>
            </w:pPr>
            <w:r>
              <w:rPr>
                <w:rFonts w:ascii="Arial" w:cs="Arial" w:eastAsia="Arial" w:hAnsi="Arial"/>
                <w:sz w:val="14"/>
                <w:szCs w:val="14"/>
                <w:color w:val="auto"/>
              </w:rPr>
              <w:t>121,397</w:t>
            </w: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233,680</w:t>
            </w:r>
          </w:p>
        </w:tc>
      </w:tr>
    </w:tbl>
    <w:p>
      <w:pPr>
        <w:spacing w:after="0" w:line="98" w:lineRule="exact"/>
        <w:rPr>
          <w:sz w:val="20"/>
          <w:szCs w:val="20"/>
          <w:color w:val="auto"/>
        </w:rPr>
      </w:pPr>
    </w:p>
    <w:p>
      <w:pPr>
        <w:ind w:left="500" w:right="200" w:hanging="492"/>
        <w:spacing w:after="0" w:line="258"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in this column include amounts paid in recognition of the Company’s effort and success in solving for the customer during 2019 and include adjustments based on the Customer First Multiple. For more information, please see our 2019 Summary Compensation Table.</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in 2018, Messrs. Halligan and Shah voluntarily requested to forego any cash bonus payments under the Bonus Plan.</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Madeley served as our Chief Sales Officer until July 2,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Long-Term Incentive Compensation</w:t>
      </w:r>
    </w:p>
    <w:p>
      <w:pPr>
        <w:spacing w:after="0" w:line="12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Compensation Committee grants long-term incentive compensation in the form of equity awards to our named executive officers on an annual basis, generally in the first quarter of the year. In determining the size of equity awards for our named executive officers, the Compensation Committee reviews competitive market data provided by its compensation consultant and grants awards intended to be competitive with the prevailing market practice. In addition to the competitive market data, the Compensation Committee also considers a number of other factors, including the recommendations of our Chief Executive Officer and President and Chief Operating Officer (except with respect to their own awards), the company’s overall performance, the individual executive officer’s performance, the relative ease or difficulty of replacing the executive with a well-qualified person and the number of well-qualified candidates available to assume the executive’s role, the amount of equity previously awarded to the executive as well as the portion of previously awarded equity that remains unvested, and the company’s annual equity burn rates. The Compensation Committee also considers the appropriateness of various equity vehicles, as well as overall program costs (which include both stockholder dilution and compensation expense), when evaluating the long-term compensation mix. All equity awards are approved by the Compensation Committee.</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We grant stock options to our executives to align their interests with those of our stockholders and as an incentive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us. The Compensation Committee believes that options to purchase shares of our common stock, with an exercise price equal to the market price of our common stock on the date of grant, are inherently performance-based and are a very effective tool to motivate our executives to build stockholder value and reinforce our position as a growth company. With stock options, our executives can realize value only to the extent that the market price of our common stock increases during the period that the option is outstanding, which provides a strong incentive to our executives to increase stockholder value. Further, because these options typically vest over a four-year period, they incentivize our executives to build value that can be sustained over time.</w:t>
      </w:r>
    </w:p>
    <w:p>
      <w:pPr>
        <w:spacing w:after="0" w:line="18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i w:val="1"/>
          <w:iCs w:val="1"/>
          <w:color w:val="auto"/>
        </w:rPr>
        <w:t xml:space="preserve">Restricted Stock Units (“RSUs”). </w:t>
      </w:r>
      <w:r>
        <w:rPr>
          <w:rFonts w:ascii="Arial" w:cs="Arial" w:eastAsia="Arial" w:hAnsi="Arial"/>
          <w:sz w:val="18"/>
          <w:szCs w:val="18"/>
          <w:color w:val="auto"/>
        </w:rPr>
        <w:t>We also grant RSUs to our executives and other employees. RSUs align the interests of our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employees with those of our stockholders and help manage the dilutive effect of our equity compensation program. Our RSUs are subject to time-based vesting. Because RSUs have value to the recipient even in the absence of stock price appreciation, RSUs help us retain and incentivize employees during periods of market volatility, and also result in our granting fewer shares of common stock than through stock options of equivalent grant date fair value. Our RSUs typically vest over a four-year period, and we believe that, like stock options, they help incentivize our executives to build value that can be sustained over time.</w:t>
      </w:r>
    </w:p>
    <w:p>
      <w:pPr>
        <w:spacing w:after="0" w:line="179"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Approved Equity Award Value and Calculation of Shares. </w:t>
      </w:r>
      <w:r>
        <w:rPr>
          <w:rFonts w:ascii="Arial" w:cs="Arial" w:eastAsia="Arial" w:hAnsi="Arial"/>
          <w:sz w:val="18"/>
          <w:szCs w:val="18"/>
          <w:color w:val="auto"/>
        </w:rPr>
        <w:t>The Compensation Committee typically approves an overall target value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awarded to each executive after considering the factors described above. Once the equity award value has been determined, the number of RSUs to be granted to the executive is calculated using the average per share closing price of HubSpot’s common stock on the NYSE over the 30 trading days up to and including the date of grant. In the case of options, the number of stock options to be granted is based on the 30 trading day trailing average fair value (Black-Scholes value) as of the date of grant. As a result, the intended target value of an equity award approved by the Compensation Committee will often differ from the grant date fair value of the stock option and RSU awards as computed in accordance with ASC Topic 718, which is shown in the 2019 Summary Compensation Table.</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ind w:right="360"/>
        <w:spacing w:after="0" w:line="253" w:lineRule="auto"/>
        <w:rPr>
          <w:sz w:val="20"/>
          <w:szCs w:val="20"/>
          <w:color w:val="auto"/>
        </w:rPr>
      </w:pPr>
      <w:r>
        <w:rPr>
          <w:rFonts w:ascii="Arial" w:cs="Arial" w:eastAsia="Arial" w:hAnsi="Arial"/>
          <w:sz w:val="18"/>
          <w:szCs w:val="18"/>
          <w:b w:val="1"/>
          <w:bCs w:val="1"/>
          <w:i w:val="1"/>
          <w:iCs w:val="1"/>
          <w:color w:val="auto"/>
        </w:rPr>
        <w:t xml:space="preserve">2019 Equity Awards. </w:t>
      </w:r>
      <w:r>
        <w:rPr>
          <w:rFonts w:ascii="Arial" w:cs="Arial" w:eastAsia="Arial" w:hAnsi="Arial"/>
          <w:sz w:val="18"/>
          <w:szCs w:val="18"/>
          <w:color w:val="auto"/>
        </w:rPr>
        <w:t>In early 2019, after considering the factors described above, the Compensation Committee approved equity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values for each executive officer and also determined that the mix for the annual equity awards would consist of 25% in value of stock options and 75% in value of RSU awards.</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Consistent with his request to reduce his base salary to $ 1 and to forego his cash bonus award, Mr. Halligan requested, and the Compensation Committee agreed, to reduce the value of his 2019 annual equity award. As a result, although the Compensation Committee had planned to award Mr. Halligan an equity award with an intended value of $3,750,000, it instead awarded Mr. Halligan a smaller equity award with an intended value of $3,597,030.</w:t>
      </w:r>
    </w:p>
    <w:p>
      <w:pPr>
        <w:spacing w:after="0" w:line="205"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table below shows the intended equity award value approved for our named executive officers and the resulting number of RSUs and stock options actually awarded to them on their respective grant dates. We note, however, that the reported value in our 2019 Summary Compensation Table is higher than the value reflected below due to fluctuations in our stock price prior to the actual grant date.</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560" w:type="dxa"/>
            <w:vAlign w:val="bottom"/>
            <w:shd w:val="clear" w:color="auto" w:fill="E36F1E"/>
          </w:tcPr>
          <w:p>
            <w:pPr>
              <w:spacing w:after="0"/>
              <w:rPr>
                <w:sz w:val="14"/>
                <w:szCs w:val="14"/>
                <w:color w:val="auto"/>
              </w:rPr>
            </w:pPr>
          </w:p>
        </w:tc>
        <w:tc>
          <w:tcPr>
            <w:tcW w:w="2260" w:type="dxa"/>
            <w:vAlign w:val="bottom"/>
            <w:shd w:val="clear" w:color="auto" w:fill="E36F1E"/>
          </w:tcPr>
          <w:p>
            <w:pPr>
              <w:jc w:val="right"/>
              <w:ind w:right="208"/>
              <w:spacing w:after="0"/>
              <w:rPr>
                <w:sz w:val="20"/>
                <w:szCs w:val="20"/>
                <w:color w:val="auto"/>
              </w:rPr>
            </w:pPr>
            <w:r>
              <w:rPr>
                <w:rFonts w:ascii="Arial" w:cs="Arial" w:eastAsia="Arial" w:hAnsi="Arial"/>
                <w:sz w:val="14"/>
                <w:szCs w:val="14"/>
                <w:b w:val="1"/>
                <w:bCs w:val="1"/>
                <w:color w:val="FFFFFF"/>
              </w:rPr>
              <w:t>Approved Value</w:t>
            </w:r>
          </w:p>
        </w:tc>
        <w:tc>
          <w:tcPr>
            <w:tcW w:w="1640" w:type="dxa"/>
            <w:vAlign w:val="bottom"/>
            <w:shd w:val="clear" w:color="auto" w:fill="E36F1E"/>
          </w:tcPr>
          <w:p>
            <w:pPr>
              <w:jc w:val="right"/>
              <w:ind w:right="268"/>
              <w:spacing w:after="0"/>
              <w:rPr>
                <w:sz w:val="20"/>
                <w:szCs w:val="20"/>
                <w:color w:val="auto"/>
              </w:rPr>
            </w:pPr>
            <w:r>
              <w:rPr>
                <w:rFonts w:ascii="Arial" w:cs="Arial" w:eastAsia="Arial" w:hAnsi="Arial"/>
                <w:sz w:val="14"/>
                <w:szCs w:val="14"/>
                <w:b w:val="1"/>
                <w:bCs w:val="1"/>
                <w:color w:val="FFFFFF"/>
              </w:rPr>
              <w:t>Restricted Stock</w:t>
            </w:r>
          </w:p>
        </w:tc>
        <w:tc>
          <w:tcPr>
            <w:tcW w:w="1400" w:type="dxa"/>
            <w:vAlign w:val="bottom"/>
            <w:shd w:val="clear" w:color="auto" w:fill="E36F1E"/>
          </w:tcPr>
          <w:p>
            <w:pPr>
              <w:jc w:val="right"/>
              <w:ind w:right="488"/>
              <w:spacing w:after="0"/>
              <w:rPr>
                <w:sz w:val="20"/>
                <w:szCs w:val="20"/>
                <w:color w:val="auto"/>
              </w:rPr>
            </w:pPr>
            <w:r>
              <w:rPr>
                <w:rFonts w:ascii="Arial" w:cs="Arial" w:eastAsia="Arial" w:hAnsi="Arial"/>
                <w:sz w:val="14"/>
                <w:szCs w:val="14"/>
                <w:b w:val="1"/>
                <w:bCs w:val="1"/>
                <w:color w:val="FFFFFF"/>
              </w:rPr>
              <w:t>Stock</w:t>
            </w:r>
          </w:p>
        </w:tc>
      </w:tr>
      <w:tr>
        <w:trPr>
          <w:trHeight w:val="175"/>
        </w:trPr>
        <w:tc>
          <w:tcPr>
            <w:tcW w:w="256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2260" w:type="dxa"/>
            <w:vAlign w:val="bottom"/>
            <w:shd w:val="clear" w:color="auto" w:fill="E36F1E"/>
          </w:tcPr>
          <w:p>
            <w:pPr>
              <w:jc w:val="right"/>
              <w:ind w:right="588"/>
              <w:spacing w:after="0"/>
              <w:rPr>
                <w:sz w:val="20"/>
                <w:szCs w:val="20"/>
                <w:color w:val="auto"/>
              </w:rPr>
            </w:pPr>
            <w:r>
              <w:rPr>
                <w:rFonts w:ascii="Arial" w:cs="Arial" w:eastAsia="Arial" w:hAnsi="Arial"/>
                <w:sz w:val="14"/>
                <w:szCs w:val="14"/>
                <w:b w:val="1"/>
                <w:bCs w:val="1"/>
                <w:color w:val="FFFFFF"/>
              </w:rPr>
              <w:t>($)(1)</w:t>
            </w:r>
          </w:p>
        </w:tc>
        <w:tc>
          <w:tcPr>
            <w:tcW w:w="1640" w:type="dxa"/>
            <w:vAlign w:val="bottom"/>
            <w:shd w:val="clear" w:color="auto" w:fill="E36F1E"/>
          </w:tcPr>
          <w:p>
            <w:pPr>
              <w:jc w:val="right"/>
              <w:ind w:right="548"/>
              <w:spacing w:after="0"/>
              <w:rPr>
                <w:sz w:val="20"/>
                <w:szCs w:val="20"/>
                <w:color w:val="auto"/>
              </w:rPr>
            </w:pPr>
            <w:r>
              <w:rPr>
                <w:rFonts w:ascii="Arial" w:cs="Arial" w:eastAsia="Arial" w:hAnsi="Arial"/>
                <w:sz w:val="14"/>
                <w:szCs w:val="14"/>
                <w:b w:val="1"/>
                <w:bCs w:val="1"/>
                <w:color w:val="FFFFFF"/>
              </w:rPr>
              <w:t>Units (#)</w:t>
            </w:r>
          </w:p>
        </w:tc>
        <w:tc>
          <w:tcPr>
            <w:tcW w:w="1400" w:type="dxa"/>
            <w:vAlign w:val="bottom"/>
            <w:shd w:val="clear" w:color="auto" w:fill="E36F1E"/>
          </w:tcPr>
          <w:p>
            <w:pPr>
              <w:jc w:val="right"/>
              <w:ind w:right="308"/>
              <w:spacing w:after="0"/>
              <w:rPr>
                <w:sz w:val="20"/>
                <w:szCs w:val="20"/>
                <w:color w:val="auto"/>
              </w:rPr>
            </w:pPr>
            <w:r>
              <w:rPr>
                <w:rFonts w:ascii="Arial" w:cs="Arial" w:eastAsia="Arial" w:hAnsi="Arial"/>
                <w:sz w:val="14"/>
                <w:szCs w:val="14"/>
                <w:b w:val="1"/>
                <w:bCs w:val="1"/>
                <w:color w:val="FFFFFF"/>
              </w:rPr>
              <w:t>Options (#)</w:t>
            </w: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2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3,597,030</w:t>
            </w:r>
          </w:p>
        </w:tc>
        <w:tc>
          <w:tcPr>
            <w:tcW w:w="16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19,520</w:t>
            </w: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14,877</w:t>
            </w:r>
          </w:p>
        </w:tc>
      </w:tr>
      <w:tr>
        <w:trPr>
          <w:trHeight w:val="176"/>
        </w:trPr>
        <w:tc>
          <w:tcPr>
            <w:tcW w:w="2560" w:type="dxa"/>
            <w:vAlign w:val="bottom"/>
          </w:tcPr>
          <w:p>
            <w:pPr>
              <w:spacing w:after="0"/>
              <w:rPr>
                <w:sz w:val="20"/>
                <w:szCs w:val="20"/>
                <w:color w:val="auto"/>
              </w:rPr>
            </w:pPr>
            <w:r>
              <w:rPr>
                <w:rFonts w:ascii="Arial" w:cs="Arial" w:eastAsia="Arial" w:hAnsi="Arial"/>
                <w:sz w:val="14"/>
                <w:szCs w:val="14"/>
                <w:color w:val="auto"/>
              </w:rPr>
              <w:t>Kate Bueker</w:t>
            </w:r>
          </w:p>
        </w:tc>
        <w:tc>
          <w:tcPr>
            <w:tcW w:w="2260" w:type="dxa"/>
            <w:vAlign w:val="bottom"/>
          </w:tcPr>
          <w:p>
            <w:pPr>
              <w:jc w:val="right"/>
              <w:ind w:right="88"/>
              <w:spacing w:after="0"/>
              <w:rPr>
                <w:sz w:val="20"/>
                <w:szCs w:val="20"/>
                <w:color w:val="auto"/>
              </w:rPr>
            </w:pPr>
            <w:r>
              <w:rPr>
                <w:rFonts w:ascii="Arial" w:cs="Arial" w:eastAsia="Arial" w:hAnsi="Arial"/>
                <w:sz w:val="14"/>
                <w:szCs w:val="14"/>
                <w:color w:val="auto"/>
              </w:rPr>
              <w:t>2,260,000</w:t>
            </w:r>
          </w:p>
        </w:tc>
        <w:tc>
          <w:tcPr>
            <w:tcW w:w="1640" w:type="dxa"/>
            <w:vAlign w:val="bottom"/>
          </w:tcPr>
          <w:p>
            <w:pPr>
              <w:jc w:val="right"/>
              <w:ind w:right="188"/>
              <w:spacing w:after="0"/>
              <w:rPr>
                <w:sz w:val="20"/>
                <w:szCs w:val="20"/>
                <w:color w:val="auto"/>
              </w:rPr>
            </w:pPr>
            <w:r>
              <w:rPr>
                <w:rFonts w:ascii="Arial" w:cs="Arial" w:eastAsia="Arial" w:hAnsi="Arial"/>
                <w:sz w:val="14"/>
                <w:szCs w:val="14"/>
                <w:color w:val="auto"/>
              </w:rPr>
              <w:t>12,264</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9,347</w:t>
            </w:r>
          </w:p>
        </w:tc>
      </w:tr>
      <w:tr>
        <w:trPr>
          <w:trHeight w:val="17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2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1,246,000</w:t>
            </w:r>
          </w:p>
        </w:tc>
        <w:tc>
          <w:tcPr>
            <w:tcW w:w="16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6,761</w:t>
            </w: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5,153</w:t>
            </w:r>
          </w:p>
        </w:tc>
      </w:tr>
      <w:tr>
        <w:trPr>
          <w:trHeight w:val="175"/>
        </w:trPr>
        <w:tc>
          <w:tcPr>
            <w:tcW w:w="2560" w:type="dxa"/>
            <w:vAlign w:val="bottom"/>
          </w:tcPr>
          <w:p>
            <w:pPr>
              <w:spacing w:after="0"/>
              <w:rPr>
                <w:sz w:val="20"/>
                <w:szCs w:val="20"/>
                <w:color w:val="auto"/>
              </w:rPr>
            </w:pPr>
            <w:r>
              <w:rPr>
                <w:rFonts w:ascii="Arial" w:cs="Arial" w:eastAsia="Arial" w:hAnsi="Arial"/>
                <w:sz w:val="14"/>
                <w:szCs w:val="14"/>
                <w:color w:val="auto"/>
              </w:rPr>
              <w:t>Hunter Madeley</w:t>
            </w:r>
          </w:p>
        </w:tc>
        <w:tc>
          <w:tcPr>
            <w:tcW w:w="2260" w:type="dxa"/>
            <w:vAlign w:val="bottom"/>
          </w:tcPr>
          <w:p>
            <w:pPr>
              <w:jc w:val="right"/>
              <w:ind w:right="88"/>
              <w:spacing w:after="0"/>
              <w:rPr>
                <w:sz w:val="20"/>
                <w:szCs w:val="20"/>
                <w:color w:val="auto"/>
              </w:rPr>
            </w:pPr>
            <w:r>
              <w:rPr>
                <w:rFonts w:ascii="Arial" w:cs="Arial" w:eastAsia="Arial" w:hAnsi="Arial"/>
                <w:sz w:val="14"/>
                <w:szCs w:val="14"/>
                <w:color w:val="auto"/>
              </w:rPr>
              <w:t>1,669,500</w:t>
            </w:r>
          </w:p>
        </w:tc>
        <w:tc>
          <w:tcPr>
            <w:tcW w:w="1640" w:type="dxa"/>
            <w:vAlign w:val="bottom"/>
          </w:tcPr>
          <w:p>
            <w:pPr>
              <w:jc w:val="right"/>
              <w:ind w:right="188"/>
              <w:spacing w:after="0"/>
              <w:rPr>
                <w:sz w:val="20"/>
                <w:szCs w:val="20"/>
                <w:color w:val="auto"/>
              </w:rPr>
            </w:pPr>
            <w:r>
              <w:rPr>
                <w:rFonts w:ascii="Arial" w:cs="Arial" w:eastAsia="Arial" w:hAnsi="Arial"/>
                <w:sz w:val="14"/>
                <w:szCs w:val="14"/>
                <w:color w:val="auto"/>
              </w:rPr>
              <w:t>9,060</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6,905</w:t>
            </w:r>
          </w:p>
        </w:tc>
      </w:tr>
      <w:tr>
        <w:trPr>
          <w:trHeight w:val="17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Dharmesh Shah</w:t>
            </w:r>
          </w:p>
        </w:tc>
        <w:tc>
          <w:tcPr>
            <w:tcW w:w="2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1,995,000</w:t>
            </w:r>
          </w:p>
        </w:tc>
        <w:tc>
          <w:tcPr>
            <w:tcW w:w="16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10,826</w:t>
            </w: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8,251</w:t>
            </w:r>
          </w:p>
        </w:tc>
      </w:t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JD Sherman</w:t>
            </w:r>
          </w:p>
        </w:tc>
        <w:tc>
          <w:tcPr>
            <w:tcW w:w="2260" w:type="dxa"/>
            <w:vAlign w:val="bottom"/>
          </w:tcPr>
          <w:p>
            <w:pPr>
              <w:jc w:val="right"/>
              <w:ind w:right="88"/>
              <w:spacing w:after="0"/>
              <w:rPr>
                <w:sz w:val="20"/>
                <w:szCs w:val="20"/>
                <w:color w:val="auto"/>
              </w:rPr>
            </w:pPr>
            <w:r>
              <w:rPr>
                <w:rFonts w:ascii="Arial" w:cs="Arial" w:eastAsia="Arial" w:hAnsi="Arial"/>
                <w:sz w:val="14"/>
                <w:szCs w:val="14"/>
                <w:color w:val="auto"/>
              </w:rPr>
              <w:t>2,544,000</w:t>
            </w:r>
          </w:p>
        </w:tc>
        <w:tc>
          <w:tcPr>
            <w:tcW w:w="1640" w:type="dxa"/>
            <w:vAlign w:val="bottom"/>
          </w:tcPr>
          <w:p>
            <w:pPr>
              <w:jc w:val="right"/>
              <w:ind w:right="188"/>
              <w:spacing w:after="0"/>
              <w:rPr>
                <w:sz w:val="20"/>
                <w:szCs w:val="20"/>
                <w:color w:val="auto"/>
              </w:rPr>
            </w:pPr>
            <w:r>
              <w:rPr>
                <w:rFonts w:ascii="Arial" w:cs="Arial" w:eastAsia="Arial" w:hAnsi="Arial"/>
                <w:sz w:val="14"/>
                <w:szCs w:val="14"/>
                <w:color w:val="auto"/>
              </w:rPr>
              <w:t>13,805</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10,522</w:t>
            </w:r>
          </w:p>
        </w:tc>
      </w:tr>
    </w:tbl>
    <w:p>
      <w:pPr>
        <w:spacing w:after="0" w:line="200" w:lineRule="exact"/>
        <w:rPr>
          <w:sz w:val="20"/>
          <w:szCs w:val="20"/>
          <w:color w:val="auto"/>
        </w:rPr>
      </w:pPr>
    </w:p>
    <w:p>
      <w:pPr>
        <w:spacing w:after="0" w:line="249" w:lineRule="exact"/>
        <w:rPr>
          <w:sz w:val="20"/>
          <w:szCs w:val="20"/>
          <w:color w:val="auto"/>
        </w:rPr>
      </w:pPr>
    </w:p>
    <w:p>
      <w:pPr>
        <w:ind w:left="500" w:right="40" w:hanging="492"/>
        <w:spacing w:after="0" w:line="258"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approved by the Compensation Committee on January 29, 2019. The grant date fair value of the stock option and RSU awards as computed in accordance with ASC Topic 718 is reported in the 2019 Summary Compensation Table.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As part of its review of the compensation to be paid to our executives, as well as the compensation programs generally available to our employees, the Compensation Committee considers potential risks arising from our compensation programs and the management of these risks, in light of our overall business, strategy and objectives.</w:t>
      </w:r>
    </w:p>
    <w:p>
      <w:pPr>
        <w:spacing w:after="0" w:line="203"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As is the case with our employees generally, our executive officers’ base salaries are fixed in amount and thus do not encourage risk-taking. Bonus amounts under our Bonus Plan are tied to overall corporate performance, and the bonus payout for executive officers is based on our performance during the fiscal year compared to pre-established target levels for two measures: ARR and non-GAAP operating income.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These financial measures counterbalance each other, decreasing the likelihood that our executive officers will pursue any one measure to the detriment of overall financial performance. Combined, these measures limit the ability of an executive to be rewarded for taking excessive risk on our behalf by, for example, seeking revenue enhancing opportunities at the expense of profitability. Moreover, a significant portion of compensation provided to our executive officers is long-term incentive compensation in the form of equity awards that help further align their interests with those of our stockholders. These risk-mitigating factors are also present in our company-wide compensation program.</w:t>
      </w:r>
    </w:p>
    <w:p>
      <w:pPr>
        <w:spacing w:after="0" w:line="19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short, we believe that our executive compensation program does not encourage excessive or unnecessary risk-taking. Furthermore, we do not believe that the risks that may arise from our compensation programs are reasonably likely to have a material adverse effect on us.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Health and Welfare Benefits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named executive officers are eligible for the same employee benefits available to our employees generally. We offer group health, dental, life and disability insurance plans. The type and extent of benefits offered are intended to be competitive within our industry and region. We also maintain a tax-qualified Section 401(k) retirement plan for eligible employees in the United States. Under our Section 401(k) plan, employees may elect to defer up to 96% of their eligible compensation subject to applicable annual limits set pursuant to the Code. We currently provide a company matching contribution of 50% of the employee’s contributions (up to $2,500 per year) under the Section 401(k) plan. Employees are 100% vested in their contributions to the Section 401(k) plan and any employer contributions after one year of service. We intend for the Section 401(k) plan to qualify, depending on the employee’s election, under Section 401(a) of the Code so that contributions by employees, and income earned on those contributions, are not taxable to employees until withdrawn from the Section 401(k) plan.</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E36C0A"/>
        </w:rPr>
        <w:t>Perquisites and Personal Benefits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noted above, our named executive officers are eligible to participate in the same benefits as those offered to all full-time employees. Our former Chief Sales Officer commuted from Toronto, Canada to Cambridge, Massachusetts. During 2019, we reimbursed him for certain housing, travel, and health expenses and provided related tax gross-up payments as set forth in the section of this Proxy Statement captioned “Executive Compensation— 2019 Summary Compensation Table.” Other than these payments, we do not have any programs for providing personal benefits or executive perquisites to our named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We do not have any employment or change in control arrangements with our executive officers, except that all of the current outstanding equity awards to our employees, including our named executive officers, under our 2014 Stock Option and Incentive Plan and our 2007 Equity Incentive Plan, include a “double-trigger” vesting acceleration provision in the event of a change in control of the company and a subsequent termination of employment as further described below under “Potential Payments Upon Termination or Change in Control.”</w:t>
      </w:r>
    </w:p>
    <w:p>
      <w:pPr>
        <w:spacing w:after="0" w:line="189"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Mr. Madeley did not receive any severance payments or other benefits in connection with his departure from the Company on July 2, 2019. Furthermore, no changes were made to his outstanding and unvested equity awards.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Stock Ownership Guidelines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adopted a Stock Ownership Policy that is applicable to our non-employee directors and those employees who have been designated as “officers” for purposes of Section 16 of the Exchange Act. The Stock Ownership Policy requires that non-employee directors hold equity in the Company with a value equal to at least three times the director’s annual Board cash retainer, the Chief Executive Officer own equity in the Company equal to at least six times his annual base salary, and that all other covered executives own equity in the Company equal to at least one times his or her annual base salary. The Stock Ownership Policy provides for a phase-in period, which provides that an individual subject to this policy is required to be in compliance with the minimum equity ownership requirement by the later of December 31, 2021 or the first December 31</w:t>
      </w:r>
      <w:r>
        <w:rPr>
          <w:rFonts w:ascii="Arial" w:cs="Arial" w:eastAsia="Arial" w:hAnsi="Arial"/>
          <w:sz w:val="15"/>
          <w:szCs w:val="15"/>
          <w:color w:val="auto"/>
        </w:rPr>
        <w:t>st</w:t>
      </w:r>
      <w:r>
        <w:rPr>
          <w:rFonts w:ascii="Arial" w:cs="Arial" w:eastAsia="Arial" w:hAnsi="Arial"/>
          <w:sz w:val="18"/>
          <w:szCs w:val="18"/>
          <w:color w:val="auto"/>
        </w:rPr>
        <w:t xml:space="preserve"> that occurs following the five-year anniversary of date on which the non-employee director or Section 16 officer first became subject to the Stock Ownership Policy. The Stock Ownership Policy also includes certain share retention obligations that apply to officers and directors who have not met the minimum equity ownership requirements by the end of their phase-in date or who cease to hold the minimum equity ownership at any time following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Anti-Hedging and Anti-Pledging Policies</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an insider trading policy that prohibits all Board members, executive officers, and employees from engaging in, among other things, hedging of stock ownership positions and transactions involving derivative securities relating to our common stock. Our policy prohibits all Board members, executive officers, and employees from buying our securities on margin, borrowing against our securities held in a margin account, engaging in short sales of our securities, and buying or selling derivatives on our securities. Our policy also generally prohibits all Board members, executive officers, and employees from pledging our securities as collateral for a loan, other than as may be allowed in certain exceptional and limited circumstances with the permission of the Audit Committee. To date, no such requests have been made or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Policy for Recoupment of Incentive Compensation</w:t>
      </w:r>
    </w:p>
    <w:p>
      <w:pPr>
        <w:spacing w:after="0" w:line="12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adopted a Policy for Recoupment of Incentive Compensation (the “Clawback Policy”) that applies to those employees who have been designated as “officers” for purposes of Section 16 of the Exchange Act. The Clawback Policy provides that if we are required to prepare an accounting restatement due to the material non-compliance with any financial reporting requirement and/or intentional misconduct by an officer covered by the policy, then a committee of independent directors may require any officer covered by the policy to repay to the Company any incentive compensation received by the officer during the previous three years, to the extent that the committee determines that the incentive compensation was in excess of the amount the officer would have received if the incentive compensation had been calculated based on the financial results reported in the restated financial statement. For purposes of the Clawback Policy, incentive compensation includes income related to annual cash bonuses and long term incentive compensation.</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E36C0A"/>
        </w:rPr>
        <w:t>Indemnification of Officers and Directors</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have agreed to indemnify our directors and officers in certain circumstances. See “Related Party Transactions—Limitation of Liability and Indemnification of Officers and Directors.”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Tax Deductibility</w:t>
      </w:r>
    </w:p>
    <w:p>
      <w:pPr>
        <w:spacing w:after="0" w:line="12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Section 162(m) of the Internal Revenue Code generally places a $1 million limit on the amount of compensation a company can deduct in any one year for certain executive officers and certain other individuals. While our Compensation Committee considers tax deductibility as one factor in determining executive compensation, our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 The exemption from Section 162(m)’s deduction limit for performance-based compensation has been repealed, effective for taxable years beginning after December 31, 2017, such that compensation paid to our named executive officers in excess of $ 1 million will not be deductible unless it qualifies for the limited transition relief applicable to certain arrangements in place as of November 2, 2017. Because of ambiguities and uncertainties as to the application and interpretation of Section 162(m) and the regulations issued thereunder, including the uncertain scope of the transition relief under the legislation repealing the performance-based compensation exemption from the deduction limit, no assurance can be given that compensation intended to satisfy the requirements for exemption from Section 162(m) in fact will. Further, our Compensation Committee reserves the right to modify compensation that was initially intended to be exempt from Section 162(m) if it determines that such modifications are consistent with our business needs. Our Compensation Committee believes that stockholder interests are best served if it maintains discretion and flexibility in awarding compensation, even though some compensation may result in non-deductible compensation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follow Financial Accounting Standard Board (“FASB”), Accounting Standards Codification Topic 718 (“ASC Topic</w:t>
      </w:r>
    </w:p>
    <w:p>
      <w:pPr>
        <w:spacing w:after="0" w:line="253" w:lineRule="auto"/>
        <w:rPr>
          <w:sz w:val="20"/>
          <w:szCs w:val="20"/>
          <w:color w:val="auto"/>
        </w:rPr>
      </w:pPr>
      <w:r>
        <w:rPr>
          <w:rFonts w:ascii="Arial" w:cs="Arial" w:eastAsia="Arial" w:hAnsi="Arial"/>
          <w:sz w:val="17"/>
          <w:szCs w:val="17"/>
          <w:color w:val="auto"/>
        </w:rPr>
        <w:t xml:space="preserve">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for our share-based compensation awards to employees and directors. FASB ASC Topic 718 requires companies to measure the compensation expense for all share-based payment awards made to employees and directors, including stock options, restricted stock awards and RSU awards, based on the grant date “fair value” of these awards. This calculation is performed for accounting purposes and reported in the compensation tables below, even though our executive officers may never realize any value from their awards. FASB ASC Topic 718 also requires companies to recognize the compensation cost of their share-based compensation awards in their statements of operations over the period that an employee or director is required to render service in exchange for the option or other award. The Compensation Committee considers the impact of FASB ASC Topic 718 when making share-based compensation awards.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2019, the Compensation Committee was comprised of Ms. Ward and Messrs. Simon and Simons. Ms. Ward joined the Compensation Committee in December 2019. None of the members of the Compensation Committee is an officer or employee of our company. None of our executive officers currently serves, or in the past year has served, as a member of the Board or Compensation Committee of any entity that has one or more executive officers serving on our Board or Compensation Committee.</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spacing w:after="0"/>
        <w:rPr>
          <w:sz w:val="20"/>
          <w:szCs w:val="20"/>
          <w:color w:val="auto"/>
        </w:rPr>
      </w:pPr>
      <w:r>
        <w:rPr>
          <w:rFonts w:ascii="Arial" w:cs="Arial" w:eastAsia="Arial" w:hAnsi="Arial"/>
          <w:sz w:val="29"/>
          <w:szCs w:val="29"/>
          <w:b w:val="1"/>
          <w:bCs w:val="1"/>
          <w:color w:val="E36C0A"/>
        </w:rPr>
        <w:t>2019 SUMMARY COMPENSATION TABLE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shd w:val="clear" w:color="auto" w:fill="E36F1E"/>
          </w:tcPr>
          <w:p>
            <w:pPr>
              <w:spacing w:after="0"/>
              <w:rPr>
                <w:sz w:val="19"/>
                <w:szCs w:val="19"/>
                <w:color w:val="auto"/>
              </w:rPr>
            </w:pPr>
          </w:p>
        </w:tc>
        <w:tc>
          <w:tcPr>
            <w:tcW w:w="780" w:type="dxa"/>
            <w:vAlign w:val="bottom"/>
            <w:shd w:val="clear" w:color="auto" w:fill="E36F1E"/>
          </w:tcPr>
          <w:p>
            <w:pPr>
              <w:spacing w:after="0"/>
              <w:rPr>
                <w:sz w:val="19"/>
                <w:szCs w:val="19"/>
                <w:color w:val="auto"/>
              </w:rPr>
            </w:pPr>
          </w:p>
        </w:tc>
        <w:tc>
          <w:tcPr>
            <w:tcW w:w="1060" w:type="dxa"/>
            <w:vAlign w:val="bottom"/>
            <w:shd w:val="clear" w:color="auto" w:fill="E36F1E"/>
          </w:tcPr>
          <w:p>
            <w:pPr>
              <w:spacing w:after="0"/>
              <w:rPr>
                <w:sz w:val="19"/>
                <w:szCs w:val="19"/>
                <w:color w:val="auto"/>
              </w:rPr>
            </w:pPr>
          </w:p>
        </w:tc>
        <w:tc>
          <w:tcPr>
            <w:tcW w:w="900" w:type="dxa"/>
            <w:vAlign w:val="bottom"/>
            <w:shd w:val="clear" w:color="auto" w:fill="E36F1E"/>
          </w:tcPr>
          <w:p>
            <w:pPr>
              <w:spacing w:after="0"/>
              <w:rPr>
                <w:sz w:val="19"/>
                <w:szCs w:val="19"/>
                <w:color w:val="auto"/>
              </w:rPr>
            </w:pPr>
          </w:p>
        </w:tc>
        <w:tc>
          <w:tcPr>
            <w:tcW w:w="1040" w:type="dxa"/>
            <w:vAlign w:val="bottom"/>
            <w:shd w:val="clear" w:color="auto" w:fill="E36F1E"/>
          </w:tcPr>
          <w:p>
            <w:pPr>
              <w:spacing w:after="0"/>
              <w:rPr>
                <w:sz w:val="19"/>
                <w:szCs w:val="19"/>
                <w:color w:val="auto"/>
              </w:rPr>
            </w:pPr>
          </w:p>
        </w:tc>
        <w:tc>
          <w:tcPr>
            <w:tcW w:w="1140" w:type="dxa"/>
            <w:vAlign w:val="bottom"/>
            <w:shd w:val="clear" w:color="auto" w:fill="E36F1E"/>
          </w:tcPr>
          <w:p>
            <w:pPr>
              <w:spacing w:after="0"/>
              <w:rPr>
                <w:sz w:val="19"/>
                <w:szCs w:val="19"/>
                <w:color w:val="auto"/>
              </w:rPr>
            </w:pPr>
          </w:p>
        </w:tc>
        <w:tc>
          <w:tcPr>
            <w:tcW w:w="15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E36F1E"/>
          </w:tcPr>
          <w:p>
            <w:pPr>
              <w:spacing w:after="0"/>
              <w:rPr>
                <w:sz w:val="19"/>
                <w:szCs w:val="19"/>
                <w:color w:val="auto"/>
              </w:rPr>
            </w:pPr>
          </w:p>
        </w:tc>
        <w:tc>
          <w:tcPr>
            <w:tcW w:w="380" w:type="dxa"/>
            <w:vAlign w:val="bottom"/>
            <w:shd w:val="clear" w:color="auto" w:fill="E36F1E"/>
          </w:tcPr>
          <w:p>
            <w:pPr>
              <w:spacing w:after="0"/>
              <w:rPr>
                <w:sz w:val="19"/>
                <w:szCs w:val="19"/>
                <w:color w:val="auto"/>
              </w:rPr>
            </w:pPr>
          </w:p>
        </w:tc>
        <w:tc>
          <w:tcPr>
            <w:tcW w:w="900" w:type="dxa"/>
            <w:vAlign w:val="bottom"/>
            <w:shd w:val="clear" w:color="auto" w:fill="E36F1E"/>
          </w:tcPr>
          <w:p>
            <w:pPr>
              <w:spacing w:after="0"/>
              <w:rPr>
                <w:sz w:val="19"/>
                <w:szCs w:val="19"/>
                <w:color w:val="auto"/>
              </w:rPr>
            </w:pPr>
          </w:p>
        </w:tc>
      </w:tr>
      <w:tr>
        <w:trPr>
          <w:trHeight w:val="176"/>
        </w:trPr>
        <w:tc>
          <w:tcPr>
            <w:tcW w:w="2260" w:type="dxa"/>
            <w:vAlign w:val="bottom"/>
            <w:shd w:val="clear" w:color="auto" w:fill="E36F1E"/>
          </w:tcPr>
          <w:p>
            <w:pPr>
              <w:spacing w:after="0"/>
              <w:rPr>
                <w:sz w:val="15"/>
                <w:szCs w:val="15"/>
                <w:color w:val="auto"/>
              </w:rPr>
            </w:pPr>
          </w:p>
        </w:tc>
        <w:tc>
          <w:tcPr>
            <w:tcW w:w="780" w:type="dxa"/>
            <w:vAlign w:val="bottom"/>
            <w:shd w:val="clear" w:color="auto" w:fill="E36F1E"/>
          </w:tcPr>
          <w:p>
            <w:pPr>
              <w:spacing w:after="0"/>
              <w:rPr>
                <w:sz w:val="15"/>
                <w:szCs w:val="15"/>
                <w:color w:val="auto"/>
              </w:rPr>
            </w:pPr>
          </w:p>
        </w:tc>
        <w:tc>
          <w:tcPr>
            <w:tcW w:w="1060" w:type="dxa"/>
            <w:vAlign w:val="bottom"/>
            <w:shd w:val="clear" w:color="auto" w:fill="E36F1E"/>
          </w:tcPr>
          <w:p>
            <w:pPr>
              <w:spacing w:after="0"/>
              <w:rPr>
                <w:sz w:val="15"/>
                <w:szCs w:val="15"/>
                <w:color w:val="auto"/>
              </w:rPr>
            </w:pPr>
          </w:p>
        </w:tc>
        <w:tc>
          <w:tcPr>
            <w:tcW w:w="900" w:type="dxa"/>
            <w:vAlign w:val="bottom"/>
            <w:shd w:val="clear" w:color="auto" w:fill="E36F1E"/>
          </w:tcPr>
          <w:p>
            <w:pPr>
              <w:spacing w:after="0"/>
              <w:rPr>
                <w:sz w:val="15"/>
                <w:szCs w:val="15"/>
                <w:color w:val="auto"/>
              </w:rPr>
            </w:pPr>
          </w:p>
        </w:tc>
        <w:tc>
          <w:tcPr>
            <w:tcW w:w="104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Stock</w:t>
            </w:r>
          </w:p>
        </w:tc>
        <w:tc>
          <w:tcPr>
            <w:tcW w:w="114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Option</w:t>
            </w:r>
          </w:p>
        </w:tc>
        <w:tc>
          <w:tcPr>
            <w:tcW w:w="15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All Other</w:t>
            </w:r>
          </w:p>
        </w:tc>
        <w:tc>
          <w:tcPr>
            <w:tcW w:w="380" w:type="dxa"/>
            <w:vAlign w:val="bottom"/>
            <w:shd w:val="clear" w:color="auto" w:fill="E36F1E"/>
          </w:tcPr>
          <w:p>
            <w:pPr>
              <w:spacing w:after="0"/>
              <w:rPr>
                <w:sz w:val="15"/>
                <w:szCs w:val="15"/>
                <w:color w:val="auto"/>
              </w:rPr>
            </w:pPr>
          </w:p>
        </w:tc>
        <w:tc>
          <w:tcPr>
            <w:tcW w:w="900" w:type="dxa"/>
            <w:vAlign w:val="bottom"/>
            <w:shd w:val="clear" w:color="auto" w:fill="E36F1E"/>
          </w:tcPr>
          <w:p>
            <w:pPr>
              <w:spacing w:after="0"/>
              <w:rPr>
                <w:sz w:val="15"/>
                <w:szCs w:val="15"/>
                <w:color w:val="auto"/>
              </w:rPr>
            </w:pPr>
          </w:p>
        </w:tc>
      </w:tr>
      <w:tr>
        <w:trPr>
          <w:trHeight w:val="176"/>
        </w:trPr>
        <w:tc>
          <w:tcPr>
            <w:tcW w:w="2260" w:type="dxa"/>
            <w:vAlign w:val="bottom"/>
            <w:shd w:val="clear" w:color="auto" w:fill="E36F1E"/>
          </w:tcPr>
          <w:p>
            <w:pPr>
              <w:spacing w:after="0"/>
              <w:rPr>
                <w:sz w:val="15"/>
                <w:szCs w:val="15"/>
                <w:color w:val="auto"/>
              </w:rPr>
            </w:pPr>
          </w:p>
        </w:tc>
        <w:tc>
          <w:tcPr>
            <w:tcW w:w="780" w:type="dxa"/>
            <w:vAlign w:val="bottom"/>
            <w:shd w:val="clear" w:color="auto" w:fill="E36F1E"/>
          </w:tcPr>
          <w:p>
            <w:pPr>
              <w:spacing w:after="0"/>
              <w:rPr>
                <w:sz w:val="15"/>
                <w:szCs w:val="15"/>
                <w:color w:val="auto"/>
              </w:rPr>
            </w:pPr>
          </w:p>
        </w:tc>
        <w:tc>
          <w:tcPr>
            <w:tcW w:w="1060" w:type="dxa"/>
            <w:vAlign w:val="bottom"/>
            <w:shd w:val="clear" w:color="auto" w:fill="E36F1E"/>
          </w:tcPr>
          <w:p>
            <w:pPr>
              <w:jc w:val="right"/>
              <w:ind w:right="228"/>
              <w:spacing w:after="0"/>
              <w:rPr>
                <w:sz w:val="20"/>
                <w:szCs w:val="20"/>
                <w:color w:val="auto"/>
              </w:rPr>
            </w:pPr>
            <w:r>
              <w:rPr>
                <w:rFonts w:ascii="Arial" w:cs="Arial" w:eastAsia="Arial" w:hAnsi="Arial"/>
                <w:sz w:val="14"/>
                <w:szCs w:val="14"/>
                <w:b w:val="1"/>
                <w:bCs w:val="1"/>
                <w:color w:val="FFFFFF"/>
              </w:rPr>
              <w:t>Salary</w:t>
            </w:r>
          </w:p>
        </w:tc>
        <w:tc>
          <w:tcPr>
            <w:tcW w:w="900" w:type="dxa"/>
            <w:vAlign w:val="bottom"/>
            <w:shd w:val="clear" w:color="auto" w:fill="E36F1E"/>
          </w:tcPr>
          <w:p>
            <w:pPr>
              <w:jc w:val="right"/>
              <w:ind w:right="208"/>
              <w:spacing w:after="0"/>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Awards</w:t>
            </w:r>
          </w:p>
        </w:tc>
        <w:tc>
          <w:tcPr>
            <w:tcW w:w="114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Awards</w:t>
            </w:r>
          </w:p>
        </w:tc>
        <w:tc>
          <w:tcPr>
            <w:tcW w:w="15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E36F1E"/>
          </w:tcPr>
          <w:p>
            <w:pPr>
              <w:jc w:val="center"/>
              <w:ind w:left="8"/>
              <w:spacing w:after="0"/>
              <w:rPr>
                <w:sz w:val="20"/>
                <w:szCs w:val="20"/>
                <w:color w:val="auto"/>
              </w:rPr>
            </w:pPr>
            <w:r>
              <w:rPr>
                <w:rFonts w:ascii="Arial" w:cs="Arial" w:eastAsia="Arial" w:hAnsi="Arial"/>
                <w:sz w:val="14"/>
                <w:szCs w:val="14"/>
                <w:b w:val="1"/>
                <w:bCs w:val="1"/>
                <w:color w:val="FFFFFF"/>
              </w:rPr>
              <w:t>Compensation</w:t>
            </w:r>
          </w:p>
        </w:tc>
        <w:tc>
          <w:tcPr>
            <w:tcW w:w="380" w:type="dxa"/>
            <w:vAlign w:val="bottom"/>
            <w:shd w:val="clear" w:color="auto" w:fill="E36F1E"/>
          </w:tcPr>
          <w:p>
            <w:pPr>
              <w:spacing w:after="0"/>
              <w:rPr>
                <w:sz w:val="15"/>
                <w:szCs w:val="15"/>
                <w:color w:val="auto"/>
              </w:rPr>
            </w:pPr>
          </w:p>
        </w:tc>
        <w:tc>
          <w:tcPr>
            <w:tcW w:w="900" w:type="dxa"/>
            <w:vAlign w:val="bottom"/>
            <w:shd w:val="clear" w:color="auto" w:fill="E36F1E"/>
          </w:tcPr>
          <w:p>
            <w:pPr>
              <w:jc w:val="right"/>
              <w:ind w:right="268"/>
              <w:spacing w:after="0"/>
              <w:rPr>
                <w:sz w:val="20"/>
                <w:szCs w:val="20"/>
                <w:color w:val="auto"/>
              </w:rPr>
            </w:pPr>
            <w:r>
              <w:rPr>
                <w:rFonts w:ascii="Arial" w:cs="Arial" w:eastAsia="Arial" w:hAnsi="Arial"/>
                <w:sz w:val="14"/>
                <w:szCs w:val="14"/>
                <w:b w:val="1"/>
                <w:bCs w:val="1"/>
                <w:color w:val="FFFFFF"/>
              </w:rPr>
              <w:t>Total</w:t>
            </w:r>
          </w:p>
        </w:tc>
      </w:tr>
      <w:tr>
        <w:trPr>
          <w:trHeight w:val="175"/>
        </w:trPr>
        <w:tc>
          <w:tcPr>
            <w:tcW w:w="226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 and Principal Position</w:t>
            </w:r>
          </w:p>
        </w:tc>
        <w:tc>
          <w:tcPr>
            <w:tcW w:w="780" w:type="dxa"/>
            <w:vAlign w:val="bottom"/>
            <w:shd w:val="clear" w:color="auto" w:fill="E36F1E"/>
          </w:tcPr>
          <w:p>
            <w:pPr>
              <w:jc w:val="right"/>
              <w:ind w:right="108"/>
              <w:spacing w:after="0"/>
              <w:rPr>
                <w:sz w:val="20"/>
                <w:szCs w:val="20"/>
                <w:color w:val="auto"/>
              </w:rPr>
            </w:pPr>
            <w:r>
              <w:rPr>
                <w:rFonts w:ascii="Arial" w:cs="Arial" w:eastAsia="Arial" w:hAnsi="Arial"/>
                <w:sz w:val="14"/>
                <w:szCs w:val="14"/>
                <w:b w:val="1"/>
                <w:bCs w:val="1"/>
                <w:color w:val="FFFFFF"/>
              </w:rPr>
              <w:t>Year</w:t>
            </w:r>
          </w:p>
        </w:tc>
        <w:tc>
          <w:tcPr>
            <w:tcW w:w="1060" w:type="dxa"/>
            <w:vAlign w:val="bottom"/>
            <w:shd w:val="clear" w:color="auto" w:fill="E36F1E"/>
          </w:tcPr>
          <w:p>
            <w:pPr>
              <w:jc w:val="right"/>
              <w:ind w:right="34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E36F1E"/>
          </w:tcPr>
          <w:p>
            <w:pPr>
              <w:jc w:val="right"/>
              <w:ind w:right="248"/>
              <w:spacing w:after="0"/>
              <w:rPr>
                <w:sz w:val="20"/>
                <w:szCs w:val="20"/>
                <w:color w:val="auto"/>
              </w:rPr>
            </w:pPr>
            <w:r>
              <w:rPr>
                <w:rFonts w:ascii="Arial" w:cs="Arial" w:eastAsia="Arial" w:hAnsi="Arial"/>
                <w:sz w:val="14"/>
                <w:szCs w:val="14"/>
                <w:b w:val="1"/>
                <w:bCs w:val="1"/>
                <w:color w:val="FFFFFF"/>
              </w:rPr>
              <w:t>($) (1)</w:t>
            </w:r>
          </w:p>
        </w:tc>
        <w:tc>
          <w:tcPr>
            <w:tcW w:w="104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 (2)</w:t>
            </w:r>
          </w:p>
        </w:tc>
        <w:tc>
          <w:tcPr>
            <w:tcW w:w="114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 (2)</w:t>
            </w:r>
          </w:p>
        </w:tc>
        <w:tc>
          <w:tcPr>
            <w:tcW w:w="15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w w:val="99"/>
              </w:rPr>
              <w:t>($) (3)</w:t>
            </w:r>
          </w:p>
        </w:tc>
        <w:tc>
          <w:tcPr>
            <w:tcW w:w="120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E36F1E"/>
          </w:tcPr>
          <w:p>
            <w:pPr>
              <w:spacing w:after="0"/>
              <w:rPr>
                <w:sz w:val="15"/>
                <w:szCs w:val="15"/>
                <w:color w:val="auto"/>
              </w:rPr>
            </w:pPr>
          </w:p>
        </w:tc>
        <w:tc>
          <w:tcPr>
            <w:tcW w:w="900" w:type="dxa"/>
            <w:vAlign w:val="bottom"/>
            <w:shd w:val="clear" w:color="auto" w:fill="E36F1E"/>
          </w:tcPr>
          <w:p>
            <w:pPr>
              <w:jc w:val="right"/>
              <w:ind w:right="348"/>
              <w:spacing w:after="0"/>
              <w:rPr>
                <w:sz w:val="20"/>
                <w:szCs w:val="20"/>
                <w:color w:val="auto"/>
              </w:rPr>
            </w:pPr>
            <w:r>
              <w:rPr>
                <w:rFonts w:ascii="Arial" w:cs="Arial" w:eastAsia="Arial" w:hAnsi="Arial"/>
                <w:sz w:val="14"/>
                <w:szCs w:val="14"/>
                <w:b w:val="1"/>
                <w:bCs w:val="1"/>
                <w:color w:val="FFFFFF"/>
              </w:rPr>
              <w:t>($)</w:t>
            </w:r>
          </w:p>
        </w:tc>
      </w:tr>
      <w:tr>
        <w:trPr>
          <w:trHeight w:val="176"/>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Brian Halligan (4)</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2019</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3,117,344</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1,035,383</w:t>
            </w:r>
          </w:p>
        </w:tc>
        <w:tc>
          <w:tcPr>
            <w:tcW w:w="1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w:t>
            </w: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4,153,970</w:t>
            </w:r>
          </w:p>
        </w:tc>
      </w:tr>
      <w:tr>
        <w:trPr>
          <w:trHeight w:val="175"/>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i w:val="1"/>
                <w:iCs w:val="1"/>
                <w:color w:val="auto"/>
              </w:rPr>
              <w:t>Chief Executive Officer</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2018</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2,286,514</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821,061</w:t>
            </w:r>
          </w:p>
        </w:tc>
        <w:tc>
          <w:tcPr>
            <w:tcW w:w="1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3,108,818</w:t>
            </w:r>
          </w:p>
        </w:tc>
      </w:tr>
      <w:tr>
        <w:trPr>
          <w:trHeight w:val="176"/>
        </w:trPr>
        <w:tc>
          <w:tcPr>
            <w:tcW w:w="22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2,379,326</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793,269</w:t>
            </w:r>
          </w:p>
        </w:tc>
        <w:tc>
          <w:tcPr>
            <w:tcW w:w="1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3,173,838</w:t>
            </w:r>
          </w:p>
        </w:tc>
      </w:tr>
      <w:tr>
        <w:trPr>
          <w:trHeight w:val="180"/>
        </w:trPr>
        <w:tc>
          <w:tcPr>
            <w:tcW w:w="2260" w:type="dxa"/>
            <w:vAlign w:val="bottom"/>
          </w:tcPr>
          <w:p>
            <w:pPr>
              <w:spacing w:after="0"/>
              <w:rPr>
                <w:sz w:val="20"/>
                <w:szCs w:val="20"/>
                <w:color w:val="auto"/>
              </w:rPr>
            </w:pPr>
            <w:r>
              <w:rPr>
                <w:rFonts w:ascii="Arial" w:cs="Arial" w:eastAsia="Arial" w:hAnsi="Arial"/>
                <w:sz w:val="14"/>
                <w:szCs w:val="14"/>
                <w:color w:val="auto"/>
              </w:rPr>
              <w:t>Kate Bueker</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350,844</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5,085</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1,958,561</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650,516</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204,086</w:t>
            </w:r>
          </w:p>
        </w:tc>
        <w:tc>
          <w:tcPr>
            <w:tcW w:w="1200" w:type="dxa"/>
            <w:vAlign w:val="bottom"/>
          </w:tcPr>
          <w:p>
            <w:pPr>
              <w:jc w:val="right"/>
              <w:spacing w:after="0"/>
              <w:rPr>
                <w:sz w:val="20"/>
                <w:szCs w:val="20"/>
                <w:color w:val="auto"/>
              </w:rPr>
            </w:pPr>
            <w:r>
              <w:rPr>
                <w:rFonts w:ascii="Arial" w:cs="Arial" w:eastAsia="Arial" w:hAnsi="Arial"/>
                <w:sz w:val="14"/>
                <w:szCs w:val="14"/>
                <w:color w:val="auto"/>
              </w:rPr>
              <w:t>3,310</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3,172,402</w:t>
            </w:r>
          </w:p>
        </w:tc>
      </w:tr>
      <w:tr>
        <w:trPr>
          <w:trHeight w:val="171"/>
        </w:trPr>
        <w:tc>
          <w:tcPr>
            <w:tcW w:w="2260" w:type="dxa"/>
            <w:vAlign w:val="bottom"/>
          </w:tcPr>
          <w:p>
            <w:pPr>
              <w:ind w:left="260"/>
              <w:spacing w:after="0"/>
              <w:rPr>
                <w:sz w:val="20"/>
                <w:szCs w:val="20"/>
                <w:color w:val="auto"/>
              </w:rPr>
            </w:pPr>
            <w:r>
              <w:rPr>
                <w:rFonts w:ascii="Arial" w:cs="Arial" w:eastAsia="Arial" w:hAnsi="Arial"/>
                <w:sz w:val="14"/>
                <w:szCs w:val="14"/>
                <w:i w:val="1"/>
                <w:iCs w:val="1"/>
                <w:color w:val="auto"/>
              </w:rPr>
              <w:t>Chief Financial Officer</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186,333</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4,011,835</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500,372</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180,366</w:t>
            </w:r>
          </w:p>
        </w:tc>
        <w:tc>
          <w:tcPr>
            <w:tcW w:w="1200" w:type="dxa"/>
            <w:vAlign w:val="bottom"/>
          </w:tcPr>
          <w:p>
            <w:pPr>
              <w:jc w:val="right"/>
              <w:spacing w:after="0"/>
              <w:rPr>
                <w:sz w:val="20"/>
                <w:szCs w:val="20"/>
                <w:color w:val="auto"/>
              </w:rPr>
            </w:pPr>
            <w:r>
              <w:rPr>
                <w:rFonts w:ascii="Arial" w:cs="Arial" w:eastAsia="Arial" w:hAnsi="Arial"/>
                <w:sz w:val="14"/>
                <w:szCs w:val="14"/>
                <w:color w:val="auto"/>
              </w:rPr>
              <w:t>2,939</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4,881,845</w:t>
            </w:r>
          </w:p>
        </w:tc>
      </w:tr>
      <w:tr>
        <w:trPr>
          <w:trHeight w:val="176"/>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John Kelleher (5)</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2019</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274,219</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4,005</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1,079,732</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358,629</w:t>
            </w:r>
          </w:p>
        </w:tc>
        <w:tc>
          <w:tcPr>
            <w:tcW w:w="1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159,514</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3,742</w:t>
            </w: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1,879,841</w:t>
            </w:r>
          </w:p>
        </w:tc>
      </w:tr>
      <w:tr>
        <w:trPr>
          <w:trHeight w:val="166"/>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i w:val="1"/>
                <w:iCs w:val="1"/>
                <w:color w:val="auto"/>
              </w:rPr>
              <w:t>General Counsel and</w:t>
            </w:r>
          </w:p>
        </w:tc>
        <w:tc>
          <w:tcPr>
            <w:tcW w:w="7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r>
      <w:tr>
        <w:trPr>
          <w:trHeight w:val="171"/>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i w:val="1"/>
                <w:iCs w:val="1"/>
                <w:color w:val="auto"/>
              </w:rPr>
              <w:t>Secretary</w:t>
            </w:r>
          </w:p>
        </w:tc>
        <w:tc>
          <w:tcPr>
            <w:tcW w:w="7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r>
      <w:tr>
        <w:trPr>
          <w:trHeight w:val="180"/>
        </w:trPr>
        <w:tc>
          <w:tcPr>
            <w:tcW w:w="2260" w:type="dxa"/>
            <w:vAlign w:val="bottom"/>
          </w:tcPr>
          <w:p>
            <w:pPr>
              <w:spacing w:after="0"/>
              <w:rPr>
                <w:sz w:val="20"/>
                <w:szCs w:val="20"/>
                <w:color w:val="auto"/>
              </w:rPr>
            </w:pPr>
            <w:r>
              <w:rPr>
                <w:rFonts w:ascii="Arial" w:cs="Arial" w:eastAsia="Arial" w:hAnsi="Arial"/>
                <w:sz w:val="14"/>
                <w:szCs w:val="14"/>
                <w:color w:val="auto"/>
              </w:rPr>
              <w:t>Hunter Madeley (6)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171,619</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1,446,882</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480,562</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98,248</w:t>
            </w:r>
          </w:p>
        </w:tc>
        <w:tc>
          <w:tcPr>
            <w:tcW w:w="1200" w:type="dxa"/>
            <w:vAlign w:val="bottom"/>
          </w:tcPr>
          <w:p>
            <w:pPr>
              <w:jc w:val="right"/>
              <w:spacing w:after="0"/>
              <w:rPr>
                <w:sz w:val="20"/>
                <w:szCs w:val="20"/>
                <w:color w:val="auto"/>
              </w:rPr>
            </w:pPr>
            <w:r>
              <w:rPr>
                <w:rFonts w:ascii="Arial" w:cs="Arial" w:eastAsia="Arial" w:hAnsi="Arial"/>
                <w:sz w:val="14"/>
                <w:szCs w:val="14"/>
                <w:color w:val="auto"/>
              </w:rPr>
              <w:t>18,758</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2,216,069</w:t>
            </w:r>
          </w:p>
        </w:tc>
      </w:tr>
      <w:tr>
        <w:trPr>
          <w:trHeight w:val="186"/>
        </w:trPr>
        <w:tc>
          <w:tcPr>
            <w:tcW w:w="2260" w:type="dxa"/>
            <w:vAlign w:val="bottom"/>
          </w:tcPr>
          <w:p>
            <w:pPr>
              <w:ind w:left="260"/>
              <w:spacing w:after="0"/>
              <w:rPr>
                <w:sz w:val="20"/>
                <w:szCs w:val="20"/>
                <w:color w:val="auto"/>
              </w:rPr>
            </w:pPr>
            <w:r>
              <w:rPr>
                <w:rFonts w:ascii="Arial" w:cs="Arial" w:eastAsia="Arial" w:hAnsi="Arial"/>
                <w:sz w:val="14"/>
                <w:szCs w:val="14"/>
                <w:i w:val="1"/>
                <w:iCs w:val="1"/>
                <w:color w:val="auto"/>
              </w:rPr>
              <w:t>Former Chief Sales Officer</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319,922</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1,222,211</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438,883</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245,170</w:t>
            </w:r>
          </w:p>
        </w:tc>
        <w:tc>
          <w:tcPr>
            <w:tcW w:w="1200" w:type="dxa"/>
            <w:vAlign w:val="bottom"/>
          </w:tcPr>
          <w:p>
            <w:pPr>
              <w:jc w:val="right"/>
              <w:spacing w:after="0"/>
              <w:rPr>
                <w:sz w:val="20"/>
                <w:szCs w:val="20"/>
                <w:color w:val="auto"/>
              </w:rPr>
            </w:pPr>
            <w:r>
              <w:rPr>
                <w:rFonts w:ascii="Arial" w:cs="Arial" w:eastAsia="Arial" w:hAnsi="Arial"/>
                <w:sz w:val="14"/>
                <w:szCs w:val="14"/>
                <w:color w:val="auto"/>
              </w:rPr>
              <w:t>52,810</w:t>
            </w:r>
          </w:p>
        </w:tc>
        <w:tc>
          <w:tcPr>
            <w:tcW w:w="3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2,278,996</w:t>
            </w:r>
          </w:p>
        </w:tc>
      </w:tr>
      <w:tr>
        <w:trPr>
          <w:trHeight w:val="161"/>
        </w:trPr>
        <w:tc>
          <w:tcPr>
            <w:tcW w:w="2260" w:type="dxa"/>
            <w:vAlign w:val="bottom"/>
          </w:tcPr>
          <w:p>
            <w:pPr>
              <w:spacing w:after="0"/>
              <w:rPr>
                <w:sz w:val="13"/>
                <w:szCs w:val="1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295,313</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861,907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287,359</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162,481</w:t>
            </w:r>
          </w:p>
        </w:tc>
        <w:tc>
          <w:tcPr>
            <w:tcW w:w="1200" w:type="dxa"/>
            <w:vAlign w:val="bottom"/>
          </w:tcPr>
          <w:p>
            <w:pPr>
              <w:jc w:val="right"/>
              <w:spacing w:after="0"/>
              <w:rPr>
                <w:sz w:val="20"/>
                <w:szCs w:val="20"/>
                <w:color w:val="auto"/>
              </w:rPr>
            </w:pPr>
            <w:r>
              <w:rPr>
                <w:rFonts w:ascii="Arial" w:cs="Arial" w:eastAsia="Arial" w:hAnsi="Arial"/>
                <w:sz w:val="14"/>
                <w:szCs w:val="14"/>
                <w:color w:val="auto"/>
              </w:rPr>
              <w:t>186,063</w:t>
            </w:r>
          </w:p>
        </w:tc>
        <w:tc>
          <w:tcPr>
            <w:tcW w:w="380" w:type="dxa"/>
            <w:vAlign w:val="bottom"/>
          </w:tcPr>
          <w:p>
            <w:pPr>
              <w:spacing w:after="0"/>
              <w:rPr>
                <w:sz w:val="13"/>
                <w:szCs w:val="1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1,793,123</w:t>
            </w:r>
          </w:p>
        </w:tc>
      </w:tr>
      <w:tr>
        <w:trPr>
          <w:trHeight w:val="176"/>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Dharmesh Shah (4)</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2019</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1,728,912</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574,238</w:t>
            </w:r>
          </w:p>
        </w:tc>
        <w:tc>
          <w:tcPr>
            <w:tcW w:w="1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w:t>
            </w: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2,304,393</w:t>
            </w:r>
          </w:p>
        </w:tc>
      </w:tr>
      <w:tr>
        <w:trPr>
          <w:trHeight w:val="175"/>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i w:val="1"/>
                <w:iCs w:val="1"/>
                <w:color w:val="auto"/>
              </w:rPr>
              <w:t>Chief Technology Officer</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2018</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1,579,745</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567,267</w:t>
            </w:r>
          </w:p>
        </w:tc>
        <w:tc>
          <w:tcPr>
            <w:tcW w:w="1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2,148,255</w:t>
            </w:r>
          </w:p>
        </w:tc>
      </w:tr>
      <w:tr>
        <w:trPr>
          <w:trHeight w:val="176"/>
        </w:trPr>
        <w:tc>
          <w:tcPr>
            <w:tcW w:w="22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1,070,678</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356,967</w:t>
            </w:r>
          </w:p>
        </w:tc>
        <w:tc>
          <w:tcPr>
            <w:tcW w:w="1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1,428,888</w:t>
            </w:r>
          </w:p>
        </w:tc>
      </w:tr>
      <w:tr>
        <w:trPr>
          <w:trHeight w:val="180"/>
        </w:trPr>
        <w:tc>
          <w:tcPr>
            <w:tcW w:w="2260" w:type="dxa"/>
            <w:vAlign w:val="bottom"/>
          </w:tcPr>
          <w:p>
            <w:pPr>
              <w:spacing w:after="0"/>
              <w:rPr>
                <w:sz w:val="20"/>
                <w:szCs w:val="20"/>
                <w:color w:val="auto"/>
              </w:rPr>
            </w:pPr>
            <w:r>
              <w:rPr>
                <w:rFonts w:ascii="Arial" w:cs="Arial" w:eastAsia="Arial" w:hAnsi="Arial"/>
                <w:sz w:val="14"/>
                <w:szCs w:val="14"/>
                <w:color w:val="auto"/>
              </w:rPr>
              <w:t>JD Sherman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391,875</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5,724</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2,204,659</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732,291</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227,956</w:t>
            </w:r>
          </w:p>
        </w:tc>
        <w:tc>
          <w:tcPr>
            <w:tcW w:w="1200" w:type="dxa"/>
            <w:vAlign w:val="bottom"/>
          </w:tcPr>
          <w:p>
            <w:pPr>
              <w:jc w:val="right"/>
              <w:spacing w:after="0"/>
              <w:rPr>
                <w:sz w:val="20"/>
                <w:szCs w:val="20"/>
                <w:color w:val="auto"/>
              </w:rPr>
            </w:pPr>
            <w:r>
              <w:rPr>
                <w:rFonts w:ascii="Arial" w:cs="Arial" w:eastAsia="Arial" w:hAnsi="Arial"/>
                <w:sz w:val="14"/>
                <w:szCs w:val="14"/>
                <w:color w:val="auto"/>
              </w:rPr>
              <w:t>3,742</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3,566,247</w:t>
            </w:r>
          </w:p>
        </w:tc>
      </w:tr>
      <w:tr>
        <w:trPr>
          <w:trHeight w:val="162"/>
        </w:trPr>
        <w:tc>
          <w:tcPr>
            <w:tcW w:w="2260" w:type="dxa"/>
            <w:vAlign w:val="bottom"/>
          </w:tcPr>
          <w:p>
            <w:pPr>
              <w:ind w:left="260"/>
              <w:spacing w:after="0"/>
              <w:rPr>
                <w:sz w:val="20"/>
                <w:szCs w:val="20"/>
                <w:color w:val="auto"/>
              </w:rPr>
            </w:pPr>
            <w:r>
              <w:rPr>
                <w:rFonts w:ascii="Arial" w:cs="Arial" w:eastAsia="Arial" w:hAnsi="Arial"/>
                <w:sz w:val="14"/>
                <w:szCs w:val="14"/>
                <w:i w:val="1"/>
                <w:iCs w:val="1"/>
                <w:color w:val="auto"/>
              </w:rPr>
              <w:t>President and Chief Operating</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6"/>
        </w:trPr>
        <w:tc>
          <w:tcPr>
            <w:tcW w:w="2260" w:type="dxa"/>
            <w:vAlign w:val="bottom"/>
          </w:tcPr>
          <w:p>
            <w:pPr>
              <w:ind w:left="260"/>
              <w:spacing w:after="0"/>
              <w:rPr>
                <w:sz w:val="20"/>
                <w:szCs w:val="20"/>
                <w:color w:val="auto"/>
              </w:rPr>
            </w:pPr>
            <w:r>
              <w:rPr>
                <w:rFonts w:ascii="Arial" w:cs="Arial" w:eastAsia="Arial" w:hAnsi="Arial"/>
                <w:sz w:val="14"/>
                <w:szCs w:val="14"/>
                <w:i w:val="1"/>
                <w:iCs w:val="1"/>
                <w:color w:val="auto"/>
              </w:rPr>
              <w:t>Officer</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367,188</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1,945,578</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698,625</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280,998</w:t>
            </w:r>
          </w:p>
        </w:tc>
        <w:tc>
          <w:tcPr>
            <w:tcW w:w="1200" w:type="dxa"/>
            <w:vAlign w:val="bottom"/>
          </w:tcPr>
          <w:p>
            <w:pPr>
              <w:jc w:val="right"/>
              <w:spacing w:after="0"/>
              <w:rPr>
                <w:sz w:val="20"/>
                <w:szCs w:val="20"/>
                <w:color w:val="auto"/>
              </w:rPr>
            </w:pPr>
            <w:r>
              <w:rPr>
                <w:rFonts w:ascii="Arial" w:cs="Arial" w:eastAsia="Arial" w:hAnsi="Arial"/>
                <w:sz w:val="14"/>
                <w:szCs w:val="14"/>
                <w:color w:val="auto"/>
              </w:rPr>
              <w:t>3,742</w:t>
            </w:r>
          </w:p>
        </w:tc>
        <w:tc>
          <w:tcPr>
            <w:tcW w:w="3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3,296,131</w:t>
            </w:r>
          </w:p>
        </w:tc>
      </w:tr>
      <w:tr>
        <w:trPr>
          <w:trHeight w:val="176"/>
        </w:trPr>
        <w:tc>
          <w:tcPr>
            <w:tcW w:w="226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343,750</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1,483,099</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494,466</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189,131</w:t>
            </w:r>
          </w:p>
        </w:tc>
        <w:tc>
          <w:tcPr>
            <w:tcW w:w="1200" w:type="dxa"/>
            <w:vAlign w:val="bottom"/>
          </w:tcPr>
          <w:p>
            <w:pPr>
              <w:jc w:val="right"/>
              <w:spacing w:after="0"/>
              <w:rPr>
                <w:sz w:val="20"/>
                <w:szCs w:val="20"/>
                <w:color w:val="auto"/>
              </w:rPr>
            </w:pPr>
            <w:r>
              <w:rPr>
                <w:rFonts w:ascii="Arial" w:cs="Arial" w:eastAsia="Arial" w:hAnsi="Arial"/>
                <w:sz w:val="14"/>
                <w:szCs w:val="14"/>
                <w:color w:val="auto"/>
              </w:rPr>
              <w:t>3,742</w:t>
            </w:r>
          </w:p>
        </w:tc>
        <w:tc>
          <w:tcPr>
            <w:tcW w:w="38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2,514,188</w:t>
            </w:r>
          </w:p>
        </w:tc>
      </w:tr>
    </w:tbl>
    <w:p>
      <w:pPr>
        <w:spacing w:after="0" w:line="273" w:lineRule="exact"/>
        <w:rPr>
          <w:sz w:val="20"/>
          <w:szCs w:val="20"/>
          <w:color w:val="auto"/>
        </w:rPr>
      </w:pPr>
    </w:p>
    <w:p>
      <w:pPr>
        <w:ind w:left="500" w:right="120" w:hanging="492"/>
        <w:spacing w:after="0" w:line="25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reported represent the Customer First Multiple paid to Ms. Bueker and Messrs. Kelleher and Sherman in recognition of the Company’s effort and success in solving for the customer during 2019, as described under “Performance-Based Cash Bonuses” above.</w:t>
      </w:r>
    </w:p>
    <w:p>
      <w:pPr>
        <w:spacing w:after="0" w:line="85" w:lineRule="exact"/>
        <w:rPr>
          <w:rFonts w:ascii="Arial" w:cs="Arial" w:eastAsia="Arial" w:hAnsi="Arial"/>
          <w:sz w:val="14"/>
          <w:szCs w:val="14"/>
          <w:color w:val="auto"/>
        </w:rPr>
      </w:pPr>
    </w:p>
    <w:p>
      <w:pPr>
        <w:ind w:left="500" w:hanging="492"/>
        <w:spacing w:after="0" w:line="247"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grant-date fair value of the RSUs that may be settled for shares of our common stock and options to purchase shares of our common stock calculated in accordance with ASC Topic 718. Such grant-date fair value does not take into account any estimated forfeitures related to service-based vesting conditions. The assumptions used in calculating the grant-date fair value are set forth in the notes to our audited consolidated financial statements presented in the 2019 Form 10-K.</w:t>
      </w:r>
    </w:p>
    <w:p>
      <w:pPr>
        <w:spacing w:after="0" w:line="93" w:lineRule="exact"/>
        <w:rPr>
          <w:rFonts w:ascii="Arial" w:cs="Arial" w:eastAsia="Arial" w:hAnsi="Arial"/>
          <w:sz w:val="14"/>
          <w:szCs w:val="14"/>
          <w:color w:val="auto"/>
        </w:rPr>
      </w:pPr>
    </w:p>
    <w:p>
      <w:pPr>
        <w:ind w:left="500" w:right="220" w:hanging="492"/>
        <w:spacing w:after="0" w:line="25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reported reflect performance-based cash bonus payments awarded based on the achievement of certain corporate performance goals under the Senior Executive Cash Incentive Bonus Plan. The amounts in this column exclude the amounts paid under the “Bonus” column in this table.</w:t>
      </w:r>
    </w:p>
    <w:p>
      <w:pPr>
        <w:spacing w:after="0" w:line="85" w:lineRule="exact"/>
        <w:rPr>
          <w:rFonts w:ascii="Arial" w:cs="Arial" w:eastAsia="Arial" w:hAnsi="Arial"/>
          <w:sz w:val="14"/>
          <w:szCs w:val="14"/>
          <w:color w:val="auto"/>
        </w:rPr>
      </w:pPr>
    </w:p>
    <w:p>
      <w:pPr>
        <w:ind w:left="500" w:right="300" w:hanging="492"/>
        <w:spacing w:after="0" w:line="25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2019, Messrs. Halligan and Shah voluntarily elected to receive a base salary of $1 and to forego any cash bonus payments under the Senior Executive Cash Incentive Bonus Plan.</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Kelleher was not a named executive officer prior to 2019.</w:t>
      </w:r>
    </w:p>
    <w:p>
      <w:pPr>
        <w:spacing w:after="0" w:line="109" w:lineRule="exact"/>
        <w:rPr>
          <w:rFonts w:ascii="Arial" w:cs="Arial" w:eastAsia="Arial" w:hAnsi="Arial"/>
          <w:sz w:val="14"/>
          <w:szCs w:val="14"/>
          <w:color w:val="auto"/>
        </w:rPr>
      </w:pPr>
    </w:p>
    <w:p>
      <w:pPr>
        <w:ind w:left="500" w:right="120" w:hanging="492"/>
        <w:spacing w:after="0" w:line="25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Madeley served as our Chief Sales Officer until July 2, 2019. Mr. Madeley did not receive severance and his equity awards were not modified in connection with his departure from the Company.</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reported includes group term life insurance.</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reported includes Section 401(k) matching contributions and group term life insurance.</w:t>
      </w:r>
    </w:p>
    <w:p>
      <w:pPr>
        <w:spacing w:after="0" w:line="109" w:lineRule="exact"/>
        <w:rPr>
          <w:rFonts w:ascii="Arial" w:cs="Arial" w:eastAsia="Arial" w:hAnsi="Arial"/>
          <w:sz w:val="14"/>
          <w:szCs w:val="14"/>
          <w:color w:val="auto"/>
        </w:rPr>
      </w:pPr>
    </w:p>
    <w:p>
      <w:pPr>
        <w:ind w:left="500" w:right="60" w:hanging="492"/>
        <w:spacing w:after="0" w:line="25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reported includes group term life insurance of $621, reimbursement for healthcare expense premiums in Canada of $2,266, reimbursement for housing and commuting expenses of $8,764 and related tax gross-up payments of $7,107.</w:t>
      </w:r>
    </w:p>
    <w:p>
      <w:pPr>
        <w:spacing w:after="0" w:line="1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7" w:name="page38"/>
    <w:bookmarkEnd w:id="37"/>
    <w:p>
      <w:pPr>
        <w:spacing w:after="0"/>
        <w:rPr>
          <w:sz w:val="20"/>
          <w:szCs w:val="20"/>
          <w:color w:val="auto"/>
        </w:rPr>
      </w:pPr>
      <w:r>
        <w:rPr>
          <w:rFonts w:ascii="Arial" w:cs="Arial" w:eastAsia="Arial" w:hAnsi="Arial"/>
          <w:sz w:val="29"/>
          <w:szCs w:val="29"/>
          <w:b w:val="1"/>
          <w:bCs w:val="1"/>
          <w:color w:val="E36C0A"/>
        </w:rPr>
        <w:t>2019 GRANTS OF PLAN-BASED AWARDS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shd w:val="clear" w:color="auto" w:fill="E36F1E"/>
          </w:tcPr>
          <w:p>
            <w:pPr>
              <w:spacing w:after="0"/>
              <w:rPr>
                <w:sz w:val="13"/>
                <w:szCs w:val="13"/>
                <w:color w:val="auto"/>
              </w:rPr>
            </w:pPr>
          </w:p>
        </w:tc>
        <w:tc>
          <w:tcPr>
            <w:tcW w:w="1000" w:type="dxa"/>
            <w:vAlign w:val="bottom"/>
            <w:shd w:val="clear" w:color="auto" w:fill="E36F1E"/>
          </w:tcPr>
          <w:p>
            <w:pPr>
              <w:spacing w:after="0"/>
              <w:rPr>
                <w:sz w:val="13"/>
                <w:szCs w:val="13"/>
                <w:color w:val="auto"/>
              </w:rPr>
            </w:pPr>
          </w:p>
        </w:tc>
        <w:tc>
          <w:tcPr>
            <w:tcW w:w="1280" w:type="dxa"/>
            <w:vAlign w:val="bottom"/>
            <w:shd w:val="clear" w:color="auto" w:fill="E36F1E"/>
          </w:tcPr>
          <w:p>
            <w:pPr>
              <w:spacing w:after="0"/>
              <w:rPr>
                <w:sz w:val="13"/>
                <w:szCs w:val="13"/>
                <w:color w:val="auto"/>
              </w:rPr>
            </w:pPr>
          </w:p>
        </w:tc>
        <w:tc>
          <w:tcPr>
            <w:tcW w:w="1620" w:type="dxa"/>
            <w:vAlign w:val="bottom"/>
            <w:shd w:val="clear" w:color="auto" w:fill="E36F1E"/>
          </w:tcPr>
          <w:p>
            <w:pPr>
              <w:spacing w:after="0"/>
              <w:rPr>
                <w:sz w:val="13"/>
                <w:szCs w:val="13"/>
                <w:color w:val="auto"/>
              </w:rPr>
            </w:pPr>
          </w:p>
        </w:tc>
        <w:tc>
          <w:tcPr>
            <w:tcW w:w="1060" w:type="dxa"/>
            <w:vAlign w:val="bottom"/>
            <w:shd w:val="clear" w:color="auto" w:fill="E36F1E"/>
          </w:tcPr>
          <w:p>
            <w:pPr>
              <w:spacing w:after="0"/>
              <w:rPr>
                <w:sz w:val="13"/>
                <w:szCs w:val="13"/>
                <w:color w:val="auto"/>
              </w:rPr>
            </w:pPr>
          </w:p>
        </w:tc>
        <w:tc>
          <w:tcPr>
            <w:tcW w:w="1220" w:type="dxa"/>
            <w:vAlign w:val="bottom"/>
            <w:shd w:val="clear" w:color="auto" w:fill="E36F1E"/>
          </w:tcPr>
          <w:p>
            <w:pPr>
              <w:jc w:val="center"/>
              <w:ind w:right="111"/>
              <w:spacing w:after="0"/>
              <w:rPr>
                <w:sz w:val="20"/>
                <w:szCs w:val="20"/>
                <w:color w:val="auto"/>
              </w:rPr>
            </w:pPr>
            <w:r>
              <w:rPr>
                <w:rFonts w:ascii="Arial" w:cs="Arial" w:eastAsia="Arial" w:hAnsi="Arial"/>
                <w:sz w:val="13"/>
                <w:szCs w:val="13"/>
                <w:b w:val="1"/>
                <w:bCs w:val="1"/>
                <w:color w:val="FFFFFF"/>
                <w:w w:val="98"/>
              </w:rPr>
              <w:t>All other</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4"/>
              </w:rPr>
              <w:t>All other</w:t>
            </w:r>
          </w:p>
        </w:tc>
        <w:tc>
          <w:tcPr>
            <w:tcW w:w="1240" w:type="dxa"/>
            <w:vAlign w:val="bottom"/>
            <w:shd w:val="clear" w:color="auto" w:fill="E36F1E"/>
          </w:tcPr>
          <w:p>
            <w:pPr>
              <w:spacing w:after="0"/>
              <w:rPr>
                <w:sz w:val="13"/>
                <w:szCs w:val="13"/>
                <w:color w:val="auto"/>
              </w:rPr>
            </w:pPr>
          </w:p>
        </w:tc>
        <w:tc>
          <w:tcPr>
            <w:tcW w:w="1100" w:type="dxa"/>
            <w:vAlign w:val="bottom"/>
            <w:shd w:val="clear" w:color="auto" w:fill="E36F1E"/>
          </w:tcPr>
          <w:p>
            <w:pPr>
              <w:spacing w:after="0"/>
              <w:rPr>
                <w:sz w:val="13"/>
                <w:szCs w:val="13"/>
                <w:color w:val="auto"/>
              </w:rPr>
            </w:pPr>
          </w:p>
        </w:tc>
      </w:tr>
      <w:tr>
        <w:trPr>
          <w:trHeight w:val="148"/>
        </w:trPr>
        <w:tc>
          <w:tcPr>
            <w:tcW w:w="1500" w:type="dxa"/>
            <w:vAlign w:val="bottom"/>
            <w:shd w:val="clear" w:color="auto" w:fill="E36F1E"/>
          </w:tcPr>
          <w:p>
            <w:pPr>
              <w:spacing w:after="0"/>
              <w:rPr>
                <w:sz w:val="12"/>
                <w:szCs w:val="12"/>
                <w:color w:val="auto"/>
              </w:rPr>
            </w:pPr>
          </w:p>
        </w:tc>
        <w:tc>
          <w:tcPr>
            <w:tcW w:w="1000" w:type="dxa"/>
            <w:vAlign w:val="bottom"/>
            <w:shd w:val="clear" w:color="auto" w:fill="E36F1E"/>
          </w:tcPr>
          <w:p>
            <w:pPr>
              <w:spacing w:after="0"/>
              <w:rPr>
                <w:sz w:val="12"/>
                <w:szCs w:val="12"/>
                <w:color w:val="auto"/>
              </w:rPr>
            </w:pPr>
          </w:p>
        </w:tc>
        <w:tc>
          <w:tcPr>
            <w:tcW w:w="1280" w:type="dxa"/>
            <w:vAlign w:val="bottom"/>
            <w:shd w:val="clear" w:color="auto" w:fill="E36F1E"/>
          </w:tcPr>
          <w:p>
            <w:pPr>
              <w:spacing w:after="0"/>
              <w:rPr>
                <w:sz w:val="12"/>
                <w:szCs w:val="12"/>
                <w:color w:val="auto"/>
              </w:rPr>
            </w:pPr>
          </w:p>
        </w:tc>
        <w:tc>
          <w:tcPr>
            <w:tcW w:w="1620" w:type="dxa"/>
            <w:vAlign w:val="bottom"/>
            <w:shd w:val="clear" w:color="auto" w:fill="E36F1E"/>
          </w:tcPr>
          <w:p>
            <w:pPr>
              <w:spacing w:after="0"/>
              <w:rPr>
                <w:sz w:val="12"/>
                <w:szCs w:val="12"/>
                <w:color w:val="auto"/>
              </w:rPr>
            </w:pPr>
          </w:p>
        </w:tc>
        <w:tc>
          <w:tcPr>
            <w:tcW w:w="1060" w:type="dxa"/>
            <w:vAlign w:val="bottom"/>
            <w:shd w:val="clear" w:color="auto" w:fill="E36F1E"/>
          </w:tcPr>
          <w:p>
            <w:pPr>
              <w:spacing w:after="0"/>
              <w:rPr>
                <w:sz w:val="12"/>
                <w:szCs w:val="12"/>
                <w:color w:val="auto"/>
              </w:rPr>
            </w:pPr>
          </w:p>
        </w:tc>
        <w:tc>
          <w:tcPr>
            <w:tcW w:w="1220" w:type="dxa"/>
            <w:vAlign w:val="bottom"/>
            <w:shd w:val="clear" w:color="auto" w:fill="E36F1E"/>
          </w:tcPr>
          <w:p>
            <w:pPr>
              <w:jc w:val="center"/>
              <w:ind w:right="111"/>
              <w:spacing w:after="0"/>
              <w:rPr>
                <w:sz w:val="20"/>
                <w:szCs w:val="20"/>
                <w:color w:val="auto"/>
              </w:rPr>
            </w:pPr>
            <w:r>
              <w:rPr>
                <w:rFonts w:ascii="Arial" w:cs="Arial" w:eastAsia="Arial" w:hAnsi="Arial"/>
                <w:sz w:val="13"/>
                <w:szCs w:val="13"/>
                <w:b w:val="1"/>
                <w:bCs w:val="1"/>
                <w:color w:val="FFFFFF"/>
              </w:rPr>
              <w:t>Stock</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rPr>
              <w:t>Option</w:t>
            </w:r>
          </w:p>
        </w:tc>
        <w:tc>
          <w:tcPr>
            <w:tcW w:w="1240" w:type="dxa"/>
            <w:vAlign w:val="bottom"/>
            <w:shd w:val="clear" w:color="auto" w:fill="E36F1E"/>
          </w:tcPr>
          <w:p>
            <w:pPr>
              <w:spacing w:after="0"/>
              <w:rPr>
                <w:sz w:val="12"/>
                <w:szCs w:val="12"/>
                <w:color w:val="auto"/>
              </w:rPr>
            </w:pPr>
          </w:p>
        </w:tc>
        <w:tc>
          <w:tcPr>
            <w:tcW w:w="1100" w:type="dxa"/>
            <w:vAlign w:val="bottom"/>
            <w:shd w:val="clear" w:color="auto" w:fill="E36F1E"/>
          </w:tcPr>
          <w:p>
            <w:pPr>
              <w:spacing w:after="0"/>
              <w:rPr>
                <w:sz w:val="12"/>
                <w:szCs w:val="12"/>
                <w:color w:val="auto"/>
              </w:rPr>
            </w:pPr>
          </w:p>
        </w:tc>
      </w:tr>
      <w:tr>
        <w:trPr>
          <w:trHeight w:val="149"/>
        </w:trPr>
        <w:tc>
          <w:tcPr>
            <w:tcW w:w="1500" w:type="dxa"/>
            <w:vAlign w:val="bottom"/>
            <w:shd w:val="clear" w:color="auto" w:fill="E36F1E"/>
          </w:tcPr>
          <w:p>
            <w:pPr>
              <w:spacing w:after="0"/>
              <w:rPr>
                <w:sz w:val="12"/>
                <w:szCs w:val="12"/>
                <w:color w:val="auto"/>
              </w:rPr>
            </w:pPr>
          </w:p>
        </w:tc>
        <w:tc>
          <w:tcPr>
            <w:tcW w:w="1000" w:type="dxa"/>
            <w:vAlign w:val="bottom"/>
            <w:shd w:val="clear" w:color="auto" w:fill="E36F1E"/>
          </w:tcPr>
          <w:p>
            <w:pPr>
              <w:spacing w:after="0"/>
              <w:rPr>
                <w:sz w:val="12"/>
                <w:szCs w:val="12"/>
                <w:color w:val="auto"/>
              </w:rPr>
            </w:pPr>
          </w:p>
        </w:tc>
        <w:tc>
          <w:tcPr>
            <w:tcW w:w="1280" w:type="dxa"/>
            <w:vAlign w:val="bottom"/>
            <w:shd w:val="clear" w:color="auto" w:fill="E36F1E"/>
          </w:tcPr>
          <w:p>
            <w:pPr>
              <w:spacing w:after="0"/>
              <w:rPr>
                <w:sz w:val="12"/>
                <w:szCs w:val="12"/>
                <w:color w:val="auto"/>
              </w:rPr>
            </w:pPr>
          </w:p>
        </w:tc>
        <w:tc>
          <w:tcPr>
            <w:tcW w:w="1620" w:type="dxa"/>
            <w:vAlign w:val="bottom"/>
            <w:shd w:val="clear" w:color="auto" w:fill="E36F1E"/>
          </w:tcPr>
          <w:p>
            <w:pPr>
              <w:spacing w:after="0"/>
              <w:rPr>
                <w:sz w:val="12"/>
                <w:szCs w:val="12"/>
                <w:color w:val="auto"/>
              </w:rPr>
            </w:pPr>
          </w:p>
        </w:tc>
        <w:tc>
          <w:tcPr>
            <w:tcW w:w="1060" w:type="dxa"/>
            <w:vAlign w:val="bottom"/>
            <w:shd w:val="clear" w:color="auto" w:fill="E36F1E"/>
          </w:tcPr>
          <w:p>
            <w:pPr>
              <w:spacing w:after="0"/>
              <w:rPr>
                <w:sz w:val="12"/>
                <w:szCs w:val="12"/>
                <w:color w:val="auto"/>
              </w:rPr>
            </w:pPr>
          </w:p>
        </w:tc>
        <w:tc>
          <w:tcPr>
            <w:tcW w:w="1220" w:type="dxa"/>
            <w:vAlign w:val="bottom"/>
            <w:shd w:val="clear" w:color="auto" w:fill="E36F1E"/>
          </w:tcPr>
          <w:p>
            <w:pPr>
              <w:jc w:val="center"/>
              <w:ind w:right="111"/>
              <w:spacing w:after="0"/>
              <w:rPr>
                <w:sz w:val="20"/>
                <w:szCs w:val="20"/>
                <w:color w:val="auto"/>
              </w:rPr>
            </w:pPr>
            <w:r>
              <w:rPr>
                <w:rFonts w:ascii="Arial" w:cs="Arial" w:eastAsia="Arial" w:hAnsi="Arial"/>
                <w:sz w:val="13"/>
                <w:szCs w:val="13"/>
                <w:b w:val="1"/>
                <w:bCs w:val="1"/>
                <w:color w:val="FFFFFF"/>
                <w:w w:val="93"/>
              </w:rPr>
              <w:t>Awards:</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7"/>
              </w:rPr>
              <w:t>Awards:</w:t>
            </w:r>
          </w:p>
        </w:tc>
        <w:tc>
          <w:tcPr>
            <w:tcW w:w="1240" w:type="dxa"/>
            <w:vAlign w:val="bottom"/>
            <w:shd w:val="clear" w:color="auto" w:fill="E36F1E"/>
          </w:tcPr>
          <w:p>
            <w:pPr>
              <w:spacing w:after="0"/>
              <w:rPr>
                <w:sz w:val="12"/>
                <w:szCs w:val="12"/>
                <w:color w:val="auto"/>
              </w:rPr>
            </w:pPr>
          </w:p>
        </w:tc>
        <w:tc>
          <w:tcPr>
            <w:tcW w:w="110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6"/>
              </w:rPr>
              <w:t>Grant Date</w:t>
            </w:r>
          </w:p>
        </w:tc>
      </w:tr>
      <w:tr>
        <w:trPr>
          <w:trHeight w:val="148"/>
        </w:trPr>
        <w:tc>
          <w:tcPr>
            <w:tcW w:w="1500" w:type="dxa"/>
            <w:vAlign w:val="bottom"/>
            <w:shd w:val="clear" w:color="auto" w:fill="E36F1E"/>
          </w:tcPr>
          <w:p>
            <w:pPr>
              <w:spacing w:after="0"/>
              <w:rPr>
                <w:sz w:val="12"/>
                <w:szCs w:val="12"/>
                <w:color w:val="auto"/>
              </w:rPr>
            </w:pPr>
          </w:p>
        </w:tc>
        <w:tc>
          <w:tcPr>
            <w:tcW w:w="1000" w:type="dxa"/>
            <w:vAlign w:val="bottom"/>
            <w:shd w:val="clear" w:color="auto" w:fill="E36F1E"/>
          </w:tcPr>
          <w:p>
            <w:pPr>
              <w:spacing w:after="0"/>
              <w:rPr>
                <w:sz w:val="12"/>
                <w:szCs w:val="12"/>
                <w:color w:val="auto"/>
              </w:rPr>
            </w:pPr>
          </w:p>
        </w:tc>
        <w:tc>
          <w:tcPr>
            <w:tcW w:w="2900" w:type="dxa"/>
            <w:vAlign w:val="bottom"/>
            <w:gridSpan w:val="2"/>
            <w:shd w:val="clear" w:color="auto" w:fill="E36F1E"/>
          </w:tcPr>
          <w:p>
            <w:pPr>
              <w:jc w:val="center"/>
              <w:ind w:left="1030"/>
              <w:spacing w:after="0"/>
              <w:rPr>
                <w:sz w:val="20"/>
                <w:szCs w:val="20"/>
                <w:color w:val="auto"/>
              </w:rPr>
            </w:pPr>
            <w:r>
              <w:rPr>
                <w:rFonts w:ascii="Arial" w:cs="Arial" w:eastAsia="Arial" w:hAnsi="Arial"/>
                <w:sz w:val="13"/>
                <w:szCs w:val="13"/>
                <w:b w:val="1"/>
                <w:bCs w:val="1"/>
                <w:color w:val="FFFFFF"/>
                <w:w w:val="97"/>
              </w:rPr>
              <w:t>Estimated Future Payouts</w:t>
            </w:r>
          </w:p>
        </w:tc>
        <w:tc>
          <w:tcPr>
            <w:tcW w:w="1060" w:type="dxa"/>
            <w:vAlign w:val="bottom"/>
            <w:shd w:val="clear" w:color="auto" w:fill="E36F1E"/>
          </w:tcPr>
          <w:p>
            <w:pPr>
              <w:spacing w:after="0"/>
              <w:rPr>
                <w:sz w:val="12"/>
                <w:szCs w:val="12"/>
                <w:color w:val="auto"/>
              </w:rPr>
            </w:pPr>
          </w:p>
        </w:tc>
        <w:tc>
          <w:tcPr>
            <w:tcW w:w="1220" w:type="dxa"/>
            <w:vAlign w:val="bottom"/>
            <w:shd w:val="clear" w:color="auto" w:fill="E36F1E"/>
          </w:tcPr>
          <w:p>
            <w:pPr>
              <w:jc w:val="center"/>
              <w:ind w:right="111"/>
              <w:spacing w:after="0"/>
              <w:rPr>
                <w:sz w:val="20"/>
                <w:szCs w:val="20"/>
                <w:color w:val="auto"/>
              </w:rPr>
            </w:pPr>
            <w:r>
              <w:rPr>
                <w:rFonts w:ascii="Arial" w:cs="Arial" w:eastAsia="Arial" w:hAnsi="Arial"/>
                <w:sz w:val="13"/>
                <w:szCs w:val="13"/>
                <w:b w:val="1"/>
                <w:bCs w:val="1"/>
                <w:color w:val="FFFFFF"/>
                <w:w w:val="98"/>
              </w:rPr>
              <w:t>Number of</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5"/>
              </w:rPr>
              <w:t>Number of</w:t>
            </w:r>
          </w:p>
        </w:tc>
        <w:tc>
          <w:tcPr>
            <w:tcW w:w="1240" w:type="dxa"/>
            <w:vAlign w:val="bottom"/>
            <w:shd w:val="clear" w:color="auto" w:fill="E36F1E"/>
          </w:tcPr>
          <w:p>
            <w:pPr>
              <w:jc w:val="center"/>
              <w:ind w:right="90"/>
              <w:spacing w:after="0"/>
              <w:rPr>
                <w:sz w:val="20"/>
                <w:szCs w:val="20"/>
                <w:color w:val="auto"/>
              </w:rPr>
            </w:pPr>
            <w:r>
              <w:rPr>
                <w:rFonts w:ascii="Arial" w:cs="Arial" w:eastAsia="Arial" w:hAnsi="Arial"/>
                <w:sz w:val="13"/>
                <w:szCs w:val="13"/>
                <w:b w:val="1"/>
                <w:bCs w:val="1"/>
                <w:color w:val="FFFFFF"/>
                <w:w w:val="96"/>
              </w:rPr>
              <w:t>Exercise or</w:t>
            </w:r>
          </w:p>
        </w:tc>
        <w:tc>
          <w:tcPr>
            <w:tcW w:w="110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6"/>
              </w:rPr>
              <w:t>Fair Value</w:t>
            </w:r>
          </w:p>
        </w:tc>
      </w:tr>
      <w:tr>
        <w:trPr>
          <w:trHeight w:val="148"/>
        </w:trPr>
        <w:tc>
          <w:tcPr>
            <w:tcW w:w="1500" w:type="dxa"/>
            <w:vAlign w:val="bottom"/>
            <w:shd w:val="clear" w:color="auto" w:fill="E36F1E"/>
          </w:tcPr>
          <w:p>
            <w:pPr>
              <w:spacing w:after="0"/>
              <w:rPr>
                <w:sz w:val="12"/>
                <w:szCs w:val="12"/>
                <w:color w:val="auto"/>
              </w:rPr>
            </w:pPr>
          </w:p>
        </w:tc>
        <w:tc>
          <w:tcPr>
            <w:tcW w:w="1000" w:type="dxa"/>
            <w:vAlign w:val="bottom"/>
            <w:shd w:val="clear" w:color="auto" w:fill="E36F1E"/>
          </w:tcPr>
          <w:p>
            <w:pPr>
              <w:spacing w:after="0"/>
              <w:rPr>
                <w:sz w:val="12"/>
                <w:szCs w:val="12"/>
                <w:color w:val="auto"/>
              </w:rPr>
            </w:pPr>
          </w:p>
        </w:tc>
        <w:tc>
          <w:tcPr>
            <w:tcW w:w="2900" w:type="dxa"/>
            <w:vAlign w:val="bottom"/>
            <w:gridSpan w:val="2"/>
            <w:shd w:val="clear" w:color="auto" w:fill="E36F1E"/>
          </w:tcPr>
          <w:p>
            <w:pPr>
              <w:jc w:val="center"/>
              <w:ind w:left="1030"/>
              <w:spacing w:after="0"/>
              <w:rPr>
                <w:sz w:val="20"/>
                <w:szCs w:val="20"/>
                <w:color w:val="auto"/>
              </w:rPr>
            </w:pPr>
            <w:r>
              <w:rPr>
                <w:rFonts w:ascii="Arial" w:cs="Arial" w:eastAsia="Arial" w:hAnsi="Arial"/>
                <w:sz w:val="13"/>
                <w:szCs w:val="13"/>
                <w:b w:val="1"/>
                <w:bCs w:val="1"/>
                <w:color w:val="FFFFFF"/>
                <w:w w:val="96"/>
              </w:rPr>
              <w:t>Under Non-Equity Incentive</w:t>
            </w:r>
          </w:p>
        </w:tc>
        <w:tc>
          <w:tcPr>
            <w:tcW w:w="1060" w:type="dxa"/>
            <w:vAlign w:val="bottom"/>
            <w:shd w:val="clear" w:color="auto" w:fill="E36F1E"/>
          </w:tcPr>
          <w:p>
            <w:pPr>
              <w:spacing w:after="0"/>
              <w:rPr>
                <w:sz w:val="12"/>
                <w:szCs w:val="12"/>
                <w:color w:val="auto"/>
              </w:rPr>
            </w:pPr>
          </w:p>
        </w:tc>
        <w:tc>
          <w:tcPr>
            <w:tcW w:w="1220" w:type="dxa"/>
            <w:vAlign w:val="bottom"/>
            <w:shd w:val="clear" w:color="auto" w:fill="E36F1E"/>
          </w:tcPr>
          <w:p>
            <w:pPr>
              <w:jc w:val="center"/>
              <w:ind w:right="111"/>
              <w:spacing w:after="0"/>
              <w:rPr>
                <w:sz w:val="20"/>
                <w:szCs w:val="20"/>
                <w:color w:val="auto"/>
              </w:rPr>
            </w:pPr>
            <w:r>
              <w:rPr>
                <w:rFonts w:ascii="Arial" w:cs="Arial" w:eastAsia="Arial" w:hAnsi="Arial"/>
                <w:sz w:val="13"/>
                <w:szCs w:val="13"/>
                <w:b w:val="1"/>
                <w:bCs w:val="1"/>
                <w:color w:val="FFFFFF"/>
                <w:w w:val="94"/>
              </w:rPr>
              <w:t>Shares of</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9"/>
              </w:rPr>
              <w:t>Securities</w:t>
            </w:r>
          </w:p>
        </w:tc>
        <w:tc>
          <w:tcPr>
            <w:tcW w:w="1240" w:type="dxa"/>
            <w:vAlign w:val="bottom"/>
            <w:shd w:val="clear" w:color="auto" w:fill="E36F1E"/>
          </w:tcPr>
          <w:p>
            <w:pPr>
              <w:jc w:val="center"/>
              <w:ind w:right="90"/>
              <w:spacing w:after="0"/>
              <w:rPr>
                <w:sz w:val="20"/>
                <w:szCs w:val="20"/>
                <w:color w:val="auto"/>
              </w:rPr>
            </w:pPr>
            <w:r>
              <w:rPr>
                <w:rFonts w:ascii="Arial" w:cs="Arial" w:eastAsia="Arial" w:hAnsi="Arial"/>
                <w:sz w:val="13"/>
                <w:szCs w:val="13"/>
                <w:b w:val="1"/>
                <w:bCs w:val="1"/>
                <w:color w:val="FFFFFF"/>
                <w:w w:val="96"/>
              </w:rPr>
              <w:t>Base Price</w:t>
            </w:r>
          </w:p>
        </w:tc>
        <w:tc>
          <w:tcPr>
            <w:tcW w:w="110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7"/>
              </w:rPr>
              <w:t>of Stock</w:t>
            </w:r>
          </w:p>
        </w:tc>
      </w:tr>
      <w:tr>
        <w:trPr>
          <w:trHeight w:val="148"/>
        </w:trPr>
        <w:tc>
          <w:tcPr>
            <w:tcW w:w="1500" w:type="dxa"/>
            <w:vAlign w:val="bottom"/>
            <w:shd w:val="clear" w:color="auto" w:fill="E36F1E"/>
          </w:tcPr>
          <w:p>
            <w:pPr>
              <w:spacing w:after="0"/>
              <w:rPr>
                <w:sz w:val="12"/>
                <w:szCs w:val="12"/>
                <w:color w:val="auto"/>
              </w:rPr>
            </w:pPr>
          </w:p>
        </w:tc>
        <w:tc>
          <w:tcPr>
            <w:tcW w:w="1000" w:type="dxa"/>
            <w:vAlign w:val="bottom"/>
            <w:shd w:val="clear" w:color="auto" w:fill="E36F1E"/>
          </w:tcPr>
          <w:p>
            <w:pPr>
              <w:spacing w:after="0"/>
              <w:rPr>
                <w:sz w:val="12"/>
                <w:szCs w:val="12"/>
                <w:color w:val="auto"/>
              </w:rPr>
            </w:pPr>
          </w:p>
        </w:tc>
        <w:tc>
          <w:tcPr>
            <w:tcW w:w="1280" w:type="dxa"/>
            <w:vAlign w:val="bottom"/>
            <w:shd w:val="clear" w:color="auto" w:fill="E36F1E"/>
          </w:tcPr>
          <w:p>
            <w:pPr>
              <w:spacing w:after="0"/>
              <w:rPr>
                <w:sz w:val="12"/>
                <w:szCs w:val="12"/>
                <w:color w:val="auto"/>
              </w:rPr>
            </w:pPr>
          </w:p>
        </w:tc>
        <w:tc>
          <w:tcPr>
            <w:tcW w:w="1620" w:type="dxa"/>
            <w:vAlign w:val="bottom"/>
            <w:shd w:val="clear" w:color="auto" w:fill="E36F1E"/>
          </w:tcPr>
          <w:p>
            <w:pPr>
              <w:jc w:val="center"/>
              <w:ind w:right="89"/>
              <w:spacing w:after="0"/>
              <w:rPr>
                <w:sz w:val="20"/>
                <w:szCs w:val="20"/>
                <w:color w:val="auto"/>
              </w:rPr>
            </w:pPr>
            <w:r>
              <w:rPr>
                <w:rFonts w:ascii="Arial" w:cs="Arial" w:eastAsia="Arial" w:hAnsi="Arial"/>
                <w:sz w:val="13"/>
                <w:szCs w:val="13"/>
                <w:b w:val="1"/>
                <w:bCs w:val="1"/>
                <w:color w:val="FFFFFF"/>
                <w:w w:val="96"/>
              </w:rPr>
              <w:t>Plan Awards (1)</w:t>
            </w:r>
          </w:p>
        </w:tc>
        <w:tc>
          <w:tcPr>
            <w:tcW w:w="1060" w:type="dxa"/>
            <w:vAlign w:val="bottom"/>
            <w:shd w:val="clear" w:color="auto" w:fill="E36F1E"/>
          </w:tcPr>
          <w:p>
            <w:pPr>
              <w:spacing w:after="0"/>
              <w:rPr>
                <w:sz w:val="12"/>
                <w:szCs w:val="12"/>
                <w:color w:val="auto"/>
              </w:rPr>
            </w:pPr>
          </w:p>
        </w:tc>
        <w:tc>
          <w:tcPr>
            <w:tcW w:w="1220" w:type="dxa"/>
            <w:vAlign w:val="bottom"/>
            <w:shd w:val="clear" w:color="auto" w:fill="E36F1E"/>
          </w:tcPr>
          <w:p>
            <w:pPr>
              <w:jc w:val="center"/>
              <w:ind w:right="111"/>
              <w:spacing w:after="0"/>
              <w:rPr>
                <w:sz w:val="20"/>
                <w:szCs w:val="20"/>
                <w:color w:val="auto"/>
              </w:rPr>
            </w:pPr>
            <w:r>
              <w:rPr>
                <w:rFonts w:ascii="Arial" w:cs="Arial" w:eastAsia="Arial" w:hAnsi="Arial"/>
                <w:sz w:val="13"/>
                <w:szCs w:val="13"/>
                <w:b w:val="1"/>
                <w:bCs w:val="1"/>
                <w:color w:val="FFFFFF"/>
                <w:w w:val="99"/>
              </w:rPr>
              <w:t>Stock or</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7"/>
              </w:rPr>
              <w:t>Underlying</w:t>
            </w:r>
          </w:p>
        </w:tc>
        <w:tc>
          <w:tcPr>
            <w:tcW w:w="1240" w:type="dxa"/>
            <w:vAlign w:val="bottom"/>
            <w:shd w:val="clear" w:color="auto" w:fill="E36F1E"/>
          </w:tcPr>
          <w:p>
            <w:pPr>
              <w:jc w:val="center"/>
              <w:ind w:right="90"/>
              <w:spacing w:after="0"/>
              <w:rPr>
                <w:sz w:val="20"/>
                <w:szCs w:val="20"/>
                <w:color w:val="auto"/>
              </w:rPr>
            </w:pPr>
            <w:r>
              <w:rPr>
                <w:rFonts w:ascii="Arial" w:cs="Arial" w:eastAsia="Arial" w:hAnsi="Arial"/>
                <w:sz w:val="13"/>
                <w:szCs w:val="13"/>
                <w:b w:val="1"/>
                <w:bCs w:val="1"/>
                <w:color w:val="FFFFFF"/>
                <w:w w:val="96"/>
              </w:rPr>
              <w:t>of Option</w:t>
            </w:r>
          </w:p>
        </w:tc>
        <w:tc>
          <w:tcPr>
            <w:tcW w:w="110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6"/>
              </w:rPr>
              <w:t>and Option</w:t>
            </w:r>
          </w:p>
        </w:tc>
      </w:tr>
      <w:tr>
        <w:trPr>
          <w:trHeight w:val="148"/>
        </w:trPr>
        <w:tc>
          <w:tcPr>
            <w:tcW w:w="1500" w:type="dxa"/>
            <w:vAlign w:val="bottom"/>
            <w:shd w:val="clear" w:color="auto" w:fill="E36F1E"/>
          </w:tcPr>
          <w:p>
            <w:pPr>
              <w:spacing w:after="0"/>
              <w:rPr>
                <w:sz w:val="12"/>
                <w:szCs w:val="12"/>
                <w:color w:val="auto"/>
              </w:rPr>
            </w:pPr>
          </w:p>
        </w:tc>
        <w:tc>
          <w:tcPr>
            <w:tcW w:w="1000" w:type="dxa"/>
            <w:vAlign w:val="bottom"/>
            <w:shd w:val="clear" w:color="auto" w:fill="E36F1E"/>
          </w:tcPr>
          <w:p>
            <w:pPr>
              <w:jc w:val="right"/>
              <w:ind w:right="189"/>
              <w:spacing w:after="0"/>
              <w:rPr>
                <w:sz w:val="20"/>
                <w:szCs w:val="20"/>
                <w:color w:val="auto"/>
              </w:rPr>
            </w:pPr>
            <w:r>
              <w:rPr>
                <w:rFonts w:ascii="Arial" w:cs="Arial" w:eastAsia="Arial" w:hAnsi="Arial"/>
                <w:sz w:val="13"/>
                <w:szCs w:val="13"/>
                <w:b w:val="1"/>
                <w:bCs w:val="1"/>
                <w:color w:val="FFFFFF"/>
              </w:rPr>
              <w:t>Grant</w:t>
            </w:r>
          </w:p>
        </w:tc>
        <w:tc>
          <w:tcPr>
            <w:tcW w:w="1280" w:type="dxa"/>
            <w:vAlign w:val="bottom"/>
            <w:shd w:val="clear" w:color="auto" w:fill="E36F1E"/>
          </w:tcPr>
          <w:p>
            <w:pPr>
              <w:jc w:val="right"/>
              <w:ind w:right="130"/>
              <w:spacing w:after="0"/>
              <w:rPr>
                <w:sz w:val="20"/>
                <w:szCs w:val="20"/>
                <w:color w:val="auto"/>
              </w:rPr>
            </w:pPr>
            <w:r>
              <w:rPr>
                <w:rFonts w:ascii="Arial" w:cs="Arial" w:eastAsia="Arial" w:hAnsi="Arial"/>
                <w:sz w:val="13"/>
                <w:szCs w:val="13"/>
                <w:b w:val="1"/>
                <w:bCs w:val="1"/>
                <w:color w:val="FFFFFF"/>
              </w:rPr>
              <w:t>Threshold</w:t>
            </w:r>
          </w:p>
        </w:tc>
        <w:tc>
          <w:tcPr>
            <w:tcW w:w="1620" w:type="dxa"/>
            <w:vAlign w:val="bottom"/>
            <w:shd w:val="clear" w:color="auto" w:fill="E36F1E"/>
          </w:tcPr>
          <w:p>
            <w:pPr>
              <w:jc w:val="center"/>
              <w:ind w:right="49"/>
              <w:spacing w:after="0"/>
              <w:rPr>
                <w:sz w:val="20"/>
                <w:szCs w:val="20"/>
                <w:color w:val="auto"/>
              </w:rPr>
            </w:pPr>
            <w:r>
              <w:rPr>
                <w:rFonts w:ascii="Arial" w:cs="Arial" w:eastAsia="Arial" w:hAnsi="Arial"/>
                <w:sz w:val="13"/>
                <w:szCs w:val="13"/>
                <w:b w:val="1"/>
                <w:bCs w:val="1"/>
                <w:color w:val="FFFFFF"/>
                <w:w w:val="95"/>
              </w:rPr>
              <w:t>Target</w:t>
            </w:r>
          </w:p>
        </w:tc>
        <w:tc>
          <w:tcPr>
            <w:tcW w:w="1060" w:type="dxa"/>
            <w:vAlign w:val="bottom"/>
            <w:shd w:val="clear" w:color="auto" w:fill="E36F1E"/>
          </w:tcPr>
          <w:p>
            <w:pPr>
              <w:jc w:val="right"/>
              <w:ind w:right="349"/>
              <w:spacing w:after="0"/>
              <w:rPr>
                <w:sz w:val="20"/>
                <w:szCs w:val="20"/>
                <w:color w:val="auto"/>
              </w:rPr>
            </w:pPr>
            <w:r>
              <w:rPr>
                <w:rFonts w:ascii="Arial" w:cs="Arial" w:eastAsia="Arial" w:hAnsi="Arial"/>
                <w:sz w:val="13"/>
                <w:szCs w:val="13"/>
                <w:b w:val="1"/>
                <w:bCs w:val="1"/>
                <w:color w:val="FFFFFF"/>
              </w:rPr>
              <w:t>Maximum</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6"/>
              </w:rPr>
              <w:t>units</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3"/>
              </w:rPr>
              <w:t>Options</w:t>
            </w:r>
          </w:p>
        </w:tc>
        <w:tc>
          <w:tcPr>
            <w:tcW w:w="1240" w:type="dxa"/>
            <w:vAlign w:val="bottom"/>
            <w:shd w:val="clear" w:color="auto" w:fill="E36F1E"/>
          </w:tcPr>
          <w:p>
            <w:pPr>
              <w:jc w:val="center"/>
              <w:ind w:right="90"/>
              <w:spacing w:after="0"/>
              <w:rPr>
                <w:sz w:val="20"/>
                <w:szCs w:val="20"/>
                <w:color w:val="auto"/>
              </w:rPr>
            </w:pPr>
            <w:r>
              <w:rPr>
                <w:rFonts w:ascii="Arial" w:cs="Arial" w:eastAsia="Arial" w:hAnsi="Arial"/>
                <w:sz w:val="13"/>
                <w:szCs w:val="13"/>
                <w:b w:val="1"/>
                <w:bCs w:val="1"/>
                <w:color w:val="FFFFFF"/>
                <w:w w:val="93"/>
              </w:rPr>
              <w:t>Awards</w:t>
            </w:r>
          </w:p>
        </w:tc>
        <w:tc>
          <w:tcPr>
            <w:tcW w:w="110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7"/>
              </w:rPr>
              <w:t>Awards</w:t>
            </w:r>
          </w:p>
        </w:tc>
      </w:tr>
      <w:tr>
        <w:trPr>
          <w:trHeight w:val="148"/>
        </w:trPr>
        <w:tc>
          <w:tcPr>
            <w:tcW w:w="1500" w:type="dxa"/>
            <w:vAlign w:val="bottom"/>
            <w:shd w:val="clear" w:color="auto" w:fill="E36F1E"/>
          </w:tcPr>
          <w:p>
            <w:pPr>
              <w:spacing w:after="0"/>
              <w:rPr>
                <w:sz w:val="20"/>
                <w:szCs w:val="20"/>
                <w:color w:val="auto"/>
              </w:rPr>
            </w:pPr>
            <w:r>
              <w:rPr>
                <w:rFonts w:ascii="Arial" w:cs="Arial" w:eastAsia="Arial" w:hAnsi="Arial"/>
                <w:sz w:val="13"/>
                <w:szCs w:val="13"/>
                <w:b w:val="1"/>
                <w:bCs w:val="1"/>
                <w:color w:val="FFFFFF"/>
              </w:rPr>
              <w:t>Name</w:t>
            </w:r>
          </w:p>
        </w:tc>
        <w:tc>
          <w:tcPr>
            <w:tcW w:w="1000" w:type="dxa"/>
            <w:vAlign w:val="bottom"/>
            <w:shd w:val="clear" w:color="auto" w:fill="E36F1E"/>
          </w:tcPr>
          <w:p>
            <w:pPr>
              <w:jc w:val="right"/>
              <w:ind w:right="229"/>
              <w:spacing w:after="0"/>
              <w:rPr>
                <w:sz w:val="20"/>
                <w:szCs w:val="20"/>
                <w:color w:val="auto"/>
              </w:rPr>
            </w:pPr>
            <w:r>
              <w:rPr>
                <w:rFonts w:ascii="Arial" w:cs="Arial" w:eastAsia="Arial" w:hAnsi="Arial"/>
                <w:sz w:val="13"/>
                <w:szCs w:val="13"/>
                <w:b w:val="1"/>
                <w:bCs w:val="1"/>
                <w:color w:val="FFFFFF"/>
              </w:rPr>
              <w:t>Date</w:t>
            </w:r>
          </w:p>
        </w:tc>
        <w:tc>
          <w:tcPr>
            <w:tcW w:w="1280" w:type="dxa"/>
            <w:vAlign w:val="bottom"/>
            <w:shd w:val="clear" w:color="auto" w:fill="E36F1E"/>
          </w:tcPr>
          <w:p>
            <w:pPr>
              <w:jc w:val="right"/>
              <w:ind w:right="370"/>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E36F1E"/>
          </w:tcPr>
          <w:p>
            <w:pPr>
              <w:jc w:val="center"/>
              <w:ind w:right="69"/>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E36F1E"/>
          </w:tcPr>
          <w:p>
            <w:pPr>
              <w:jc w:val="right"/>
              <w:ind w:right="569"/>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E36F1E"/>
          </w:tcPr>
          <w:p>
            <w:pPr>
              <w:jc w:val="center"/>
              <w:ind w:right="111"/>
              <w:spacing w:after="0"/>
              <w:rPr>
                <w:sz w:val="20"/>
                <w:szCs w:val="20"/>
                <w:color w:val="auto"/>
              </w:rPr>
            </w:pPr>
            <w:r>
              <w:rPr>
                <w:rFonts w:ascii="Arial" w:cs="Arial" w:eastAsia="Arial" w:hAnsi="Arial"/>
                <w:sz w:val="13"/>
                <w:szCs w:val="13"/>
                <w:b w:val="1"/>
                <w:bCs w:val="1"/>
                <w:color w:val="FFFFFF"/>
              </w:rPr>
              <w:t>(#) (2)</w:t>
            </w:r>
          </w:p>
        </w:tc>
        <w:tc>
          <w:tcPr>
            <w:tcW w:w="1220" w:type="dxa"/>
            <w:vAlign w:val="bottom"/>
            <w:shd w:val="clear" w:color="auto" w:fill="E36F1E"/>
          </w:tcPr>
          <w:p>
            <w:pPr>
              <w:jc w:val="center"/>
              <w:ind w:right="91"/>
              <w:spacing w:after="0"/>
              <w:rPr>
                <w:sz w:val="20"/>
                <w:szCs w:val="20"/>
                <w:color w:val="auto"/>
              </w:rPr>
            </w:pPr>
            <w:r>
              <w:rPr>
                <w:rFonts w:ascii="Arial" w:cs="Arial" w:eastAsia="Arial" w:hAnsi="Arial"/>
                <w:sz w:val="13"/>
                <w:szCs w:val="13"/>
                <w:b w:val="1"/>
                <w:bCs w:val="1"/>
                <w:color w:val="FFFFFF"/>
                <w:w w:val="95"/>
              </w:rPr>
              <w:t>(#) (3)</w:t>
            </w:r>
          </w:p>
        </w:tc>
        <w:tc>
          <w:tcPr>
            <w:tcW w:w="1240" w:type="dxa"/>
            <w:vAlign w:val="bottom"/>
            <w:shd w:val="clear" w:color="auto" w:fill="E36F1E"/>
          </w:tcPr>
          <w:p>
            <w:pPr>
              <w:jc w:val="center"/>
              <w:ind w:right="110"/>
              <w:spacing w:after="0"/>
              <w:rPr>
                <w:sz w:val="20"/>
                <w:szCs w:val="20"/>
                <w:color w:val="auto"/>
              </w:rPr>
            </w:pPr>
            <w:r>
              <w:rPr>
                <w:rFonts w:ascii="Arial" w:cs="Arial" w:eastAsia="Arial" w:hAnsi="Arial"/>
                <w:sz w:val="13"/>
                <w:szCs w:val="13"/>
                <w:b w:val="1"/>
                <w:bCs w:val="1"/>
                <w:color w:val="FFFFFF"/>
                <w:w w:val="97"/>
              </w:rPr>
              <w:t>($/Sh) (4)</w:t>
            </w:r>
          </w:p>
        </w:tc>
        <w:tc>
          <w:tcPr>
            <w:tcW w:w="110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5"/>
              </w:rPr>
              <w:t>($) (5)</w:t>
            </w:r>
          </w:p>
        </w:tc>
      </w:tr>
      <w:tr>
        <w:trPr>
          <w:trHeight w:val="176"/>
        </w:trPr>
        <w:tc>
          <w:tcPr>
            <w:tcW w:w="1500" w:type="dxa"/>
            <w:vAlign w:val="bottom"/>
            <w:shd w:val="clear" w:color="auto" w:fill="CFF0FC"/>
          </w:tcPr>
          <w:p>
            <w:pPr>
              <w:spacing w:after="0"/>
              <w:rPr>
                <w:sz w:val="20"/>
                <w:szCs w:val="20"/>
                <w:color w:val="auto"/>
              </w:rPr>
            </w:pPr>
            <w:r>
              <w:rPr>
                <w:rFonts w:ascii="Arial" w:cs="Arial" w:eastAsia="Arial" w:hAnsi="Arial"/>
                <w:sz w:val="14"/>
                <w:szCs w:val="14"/>
                <w:color w:val="auto"/>
              </w:rPr>
              <w:t>Brian Halligan (6)</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19,520</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3,117,344</w:t>
            </w:r>
          </w:p>
        </w:tc>
      </w:tr>
      <w:tr>
        <w:trPr>
          <w:trHeight w:val="176"/>
        </w:trPr>
        <w:tc>
          <w:tcPr>
            <w:tcW w:w="15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14,877</w:t>
            </w:r>
          </w:p>
        </w:tc>
        <w:tc>
          <w:tcPr>
            <w:tcW w:w="12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159.70</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1,035,383</w:t>
            </w:r>
          </w:p>
        </w:tc>
      </w:tr>
      <w:tr>
        <w:trPr>
          <w:trHeight w:val="190"/>
        </w:trPr>
        <w:tc>
          <w:tcPr>
            <w:tcW w:w="1500" w:type="dxa"/>
            <w:vAlign w:val="bottom"/>
          </w:tcPr>
          <w:p>
            <w:pPr>
              <w:spacing w:after="0"/>
              <w:rPr>
                <w:sz w:val="20"/>
                <w:szCs w:val="20"/>
                <w:color w:val="auto"/>
              </w:rPr>
            </w:pPr>
            <w:r>
              <w:rPr>
                <w:rFonts w:ascii="Arial" w:cs="Arial" w:eastAsia="Arial" w:hAnsi="Arial"/>
                <w:sz w:val="14"/>
                <w:szCs w:val="14"/>
                <w:color w:val="auto"/>
              </w:rPr>
              <w:t>Kate Bueker</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105,938</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211,875</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360,188</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175"/>
        </w:trPr>
        <w:tc>
          <w:tcPr>
            <w:tcW w:w="1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12,264</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1,958,561</w:t>
            </w:r>
          </w:p>
        </w:tc>
      </w:tr>
      <w:tr>
        <w:trPr>
          <w:trHeight w:val="161"/>
        </w:trPr>
        <w:tc>
          <w:tcPr>
            <w:tcW w:w="15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9,347</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159.70</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650,516</w:t>
            </w:r>
          </w:p>
        </w:tc>
      </w:tr>
      <w:tr>
        <w:trPr>
          <w:trHeight w:val="176"/>
        </w:trPr>
        <w:tc>
          <w:tcPr>
            <w:tcW w:w="150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83,438</w:t>
            </w:r>
          </w:p>
        </w:tc>
        <w:tc>
          <w:tcPr>
            <w:tcW w:w="162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rPr>
              <w:t>166,875</w:t>
            </w:r>
          </w:p>
        </w:tc>
        <w:tc>
          <w:tcPr>
            <w:tcW w:w="106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rPr>
              <w:t>283,688</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w:t>
            </w:r>
          </w:p>
        </w:tc>
      </w:tr>
      <w:tr>
        <w:trPr>
          <w:trHeight w:val="176"/>
        </w:trPr>
        <w:tc>
          <w:tcPr>
            <w:tcW w:w="15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6,761</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1,079,732</w:t>
            </w:r>
          </w:p>
        </w:tc>
      </w:tr>
      <w:tr>
        <w:trPr>
          <w:trHeight w:val="175"/>
        </w:trPr>
        <w:tc>
          <w:tcPr>
            <w:tcW w:w="15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5,153</w:t>
            </w:r>
          </w:p>
        </w:tc>
        <w:tc>
          <w:tcPr>
            <w:tcW w:w="12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159.70</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358,629</w:t>
            </w:r>
          </w:p>
        </w:tc>
      </w:tr>
      <w:tr>
        <w:trPr>
          <w:trHeight w:val="190"/>
        </w:trPr>
        <w:tc>
          <w:tcPr>
            <w:tcW w:w="1500" w:type="dxa"/>
            <w:vAlign w:val="bottom"/>
          </w:tcPr>
          <w:p>
            <w:pPr>
              <w:spacing w:after="0"/>
              <w:rPr>
                <w:sz w:val="20"/>
                <w:szCs w:val="20"/>
                <w:color w:val="auto"/>
              </w:rPr>
            </w:pPr>
            <w:r>
              <w:rPr>
                <w:rFonts w:ascii="Arial" w:cs="Arial" w:eastAsia="Arial" w:hAnsi="Arial"/>
                <w:sz w:val="14"/>
                <w:szCs w:val="14"/>
                <w:color w:val="auto"/>
              </w:rPr>
              <w:t>Hunter Madeley</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104,344</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208,688</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354,769</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176"/>
        </w:trPr>
        <w:tc>
          <w:tcPr>
            <w:tcW w:w="1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9,060</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1,446,882</w:t>
            </w:r>
          </w:p>
        </w:tc>
      </w:tr>
      <w:tr>
        <w:trPr>
          <w:trHeight w:val="161"/>
        </w:trPr>
        <w:tc>
          <w:tcPr>
            <w:tcW w:w="15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6,905</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159.70</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480,562</w:t>
            </w:r>
          </w:p>
        </w:tc>
      </w:tr>
      <w:tr>
        <w:trPr>
          <w:trHeight w:val="176"/>
        </w:trPr>
        <w:tc>
          <w:tcPr>
            <w:tcW w:w="1500" w:type="dxa"/>
            <w:vAlign w:val="bottom"/>
            <w:shd w:val="clear" w:color="auto" w:fill="CFF0FC"/>
          </w:tcPr>
          <w:p>
            <w:pPr>
              <w:spacing w:after="0"/>
              <w:rPr>
                <w:sz w:val="20"/>
                <w:szCs w:val="20"/>
                <w:color w:val="auto"/>
              </w:rPr>
            </w:pPr>
            <w:r>
              <w:rPr>
                <w:rFonts w:ascii="Arial" w:cs="Arial" w:eastAsia="Arial" w:hAnsi="Arial"/>
                <w:sz w:val="14"/>
                <w:szCs w:val="14"/>
                <w:color w:val="auto"/>
              </w:rPr>
              <w:t>Dharmesh Shah (6)</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10,826</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1,728,912</w:t>
            </w:r>
          </w:p>
        </w:tc>
      </w:tr>
      <w:tr>
        <w:trPr>
          <w:trHeight w:val="175"/>
        </w:trPr>
        <w:tc>
          <w:tcPr>
            <w:tcW w:w="15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8,251</w:t>
            </w:r>
          </w:p>
        </w:tc>
        <w:tc>
          <w:tcPr>
            <w:tcW w:w="12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159.70</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574,238</w:t>
            </w:r>
          </w:p>
        </w:tc>
      </w:tr>
      <w:tr>
        <w:trPr>
          <w:trHeight w:val="190"/>
        </w:trPr>
        <w:tc>
          <w:tcPr>
            <w:tcW w:w="1500" w:type="dxa"/>
            <w:vAlign w:val="bottom"/>
          </w:tcPr>
          <w:p>
            <w:pPr>
              <w:spacing w:after="0"/>
              <w:rPr>
                <w:sz w:val="20"/>
                <w:szCs w:val="20"/>
                <w:color w:val="auto"/>
              </w:rPr>
            </w:pPr>
            <w:r>
              <w:rPr>
                <w:rFonts w:ascii="Arial" w:cs="Arial" w:eastAsia="Arial" w:hAnsi="Arial"/>
                <w:sz w:val="14"/>
                <w:szCs w:val="14"/>
                <w:color w:val="auto"/>
              </w:rPr>
              <w:t>JD Sherman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119,250</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238,500</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405,450</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176"/>
        </w:trPr>
        <w:tc>
          <w:tcPr>
            <w:tcW w:w="1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13,805</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2,204,659</w:t>
            </w:r>
          </w:p>
        </w:tc>
      </w:tr>
      <w:tr>
        <w:trPr>
          <w:trHeight w:val="175"/>
        </w:trPr>
        <w:tc>
          <w:tcPr>
            <w:tcW w:w="1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2/1/2019</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10,522</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159.70</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732,291</w:t>
            </w:r>
          </w:p>
        </w:tc>
      </w:tr>
    </w:tbl>
    <w:p>
      <w:pPr>
        <w:spacing w:after="0" w:line="98" w:lineRule="exact"/>
        <w:rPr>
          <w:sz w:val="20"/>
          <w:szCs w:val="20"/>
          <w:color w:val="auto"/>
        </w:rPr>
      </w:pPr>
    </w:p>
    <w:p>
      <w:pPr>
        <w:ind w:left="500" w:right="20" w:hanging="492"/>
        <w:spacing w:after="0" w:line="244"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in the "Estimated Future Payouts Under Non-Equity Incentive Plan Awards" column, sub-column "Threshold," reflect the minimum payment level of short-term incentive compensation for each of the named executive officers under our Senior Executive Cash Incentive Bonus Plan. The amounts reported in the "Maximum," sub-column reflect that for 2019, the program provided the potential to earn a maximum of 170% of the target short-term incentive bonus opportunity. The specific components of the Senior Executive Cash Incentive Bonus Plan are described in the "Performance-Based Cash Bonuses" section of the Compensation Discussion and Analysis in this Proxy Statement. Non-equity incentive plan awards actually paid by the Company for services rendered in 2019 are reported in the "Non-Equity Incentive Plan Compensation" column of the "2019 Summary Compensation Table" above.</w:t>
      </w:r>
    </w:p>
    <w:p>
      <w:pPr>
        <w:spacing w:after="0" w:line="97" w:lineRule="exact"/>
        <w:rPr>
          <w:rFonts w:ascii="Arial" w:cs="Arial" w:eastAsia="Arial" w:hAnsi="Arial"/>
          <w:sz w:val="14"/>
          <w:szCs w:val="14"/>
          <w:color w:val="auto"/>
        </w:rPr>
      </w:pPr>
    </w:p>
    <w:p>
      <w:pPr>
        <w:ind w:left="500" w:right="680" w:hanging="492"/>
        <w:spacing w:after="0" w:line="258"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RSUs granted under our 2014 Stock Option and Incentive Plan. Each RSU award vests over four years from January 1, 2019 in 16 equal quarterly installments, subject to the named executive officer’s continued employment through such vesting date.</w:t>
      </w:r>
    </w:p>
    <w:p>
      <w:pPr>
        <w:spacing w:after="0" w:line="85" w:lineRule="exact"/>
        <w:rPr>
          <w:rFonts w:ascii="Arial" w:cs="Arial" w:eastAsia="Arial" w:hAnsi="Arial"/>
          <w:sz w:val="14"/>
          <w:szCs w:val="14"/>
          <w:color w:val="auto"/>
        </w:rPr>
      </w:pPr>
    </w:p>
    <w:p>
      <w:pPr>
        <w:ind w:left="500" w:right="320" w:hanging="492"/>
        <w:spacing w:after="0" w:line="258"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options to purchase shares of our common stock granted under our 2014 Stock Option and Incentive Plan. Each stock option vests over four years from January 1, 2019 in 16 equal quarterly installments, subject to the named executive officer’s continued employment through such vesting date.</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exercise price is equal to the closing market price of our common stock on The New York Stock Exchange on the date of grant.</w:t>
      </w:r>
    </w:p>
    <w:p>
      <w:pPr>
        <w:spacing w:after="0" w:line="109" w:lineRule="exact"/>
        <w:rPr>
          <w:rFonts w:ascii="Arial" w:cs="Arial" w:eastAsia="Arial" w:hAnsi="Arial"/>
          <w:sz w:val="14"/>
          <w:szCs w:val="14"/>
          <w:color w:val="auto"/>
        </w:rPr>
      </w:pPr>
    </w:p>
    <w:p>
      <w:pPr>
        <w:ind w:left="500" w:hanging="492"/>
        <w:spacing w:after="0" w:line="249"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grant-date fair value of the RSU awards and stock options calculated in accordance with ASC Topic 718. Such grant-date fair value does not take into account any estimated forfeitures related to service-based vesting conditions. The assumptions used in calculating the grant-date fair value are set forth in the notes to our audited consolidated financial statements presented in the 2019 Form 10-K.</w:t>
      </w:r>
    </w:p>
    <w:p>
      <w:pPr>
        <w:spacing w:after="0" w:line="92"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Messrs. Halligan and Shah voluntarily requested to forego any cash bonus payments under the Bonus Plan for fiscal year 2019.</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8" w:name="page39"/>
    <w:bookmarkEnd w:id="38"/>
    <w:p>
      <w:pPr>
        <w:spacing w:after="0"/>
        <w:rPr>
          <w:sz w:val="20"/>
          <w:szCs w:val="20"/>
          <w:color w:val="auto"/>
        </w:rPr>
      </w:pPr>
      <w:r>
        <w:rPr>
          <w:rFonts w:ascii="Arial" w:cs="Arial" w:eastAsia="Arial" w:hAnsi="Arial"/>
          <w:sz w:val="29"/>
          <w:szCs w:val="29"/>
          <w:b w:val="1"/>
          <w:bCs w:val="1"/>
          <w:color w:val="E36C0A"/>
        </w:rPr>
        <w:t>2019 OUTSTANDING EQUITY AWARDS AT FISCAL YEAR-END TABLE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shd w:val="clear" w:color="auto" w:fill="E36F1E"/>
          </w:tcPr>
          <w:p>
            <w:pPr>
              <w:spacing w:after="0"/>
              <w:rPr>
                <w:sz w:val="19"/>
                <w:szCs w:val="19"/>
                <w:color w:val="auto"/>
              </w:rPr>
            </w:pPr>
          </w:p>
        </w:tc>
        <w:tc>
          <w:tcPr>
            <w:tcW w:w="800" w:type="dxa"/>
            <w:vAlign w:val="bottom"/>
            <w:shd w:val="clear" w:color="auto" w:fill="E36F1E"/>
          </w:tcPr>
          <w:p>
            <w:pPr>
              <w:spacing w:after="0"/>
              <w:rPr>
                <w:sz w:val="19"/>
                <w:szCs w:val="19"/>
                <w:color w:val="auto"/>
              </w:rPr>
            </w:pPr>
          </w:p>
        </w:tc>
        <w:tc>
          <w:tcPr>
            <w:tcW w:w="1180" w:type="dxa"/>
            <w:vAlign w:val="bottom"/>
            <w:shd w:val="clear" w:color="auto" w:fill="E36F1E"/>
          </w:tcPr>
          <w:p>
            <w:pPr>
              <w:spacing w:after="0"/>
              <w:rPr>
                <w:sz w:val="19"/>
                <w:szCs w:val="19"/>
                <w:color w:val="auto"/>
              </w:rPr>
            </w:pPr>
          </w:p>
        </w:tc>
        <w:tc>
          <w:tcPr>
            <w:tcW w:w="1060" w:type="dxa"/>
            <w:vAlign w:val="bottom"/>
            <w:shd w:val="clear" w:color="auto" w:fill="E36F1E"/>
          </w:tcPr>
          <w:p>
            <w:pPr>
              <w:spacing w:after="0"/>
              <w:rPr>
                <w:sz w:val="19"/>
                <w:szCs w:val="19"/>
                <w:color w:val="auto"/>
              </w:rPr>
            </w:pPr>
          </w:p>
        </w:tc>
        <w:tc>
          <w:tcPr>
            <w:tcW w:w="2560" w:type="dxa"/>
            <w:vAlign w:val="bottom"/>
            <w:gridSpan w:val="2"/>
            <w:shd w:val="clear" w:color="auto" w:fill="E36F1E"/>
          </w:tcPr>
          <w:p>
            <w:pPr>
              <w:jc w:val="right"/>
              <w:ind w:right="568"/>
              <w:spacing w:after="0"/>
              <w:rPr>
                <w:sz w:val="20"/>
                <w:szCs w:val="20"/>
                <w:color w:val="auto"/>
              </w:rPr>
            </w:pPr>
            <w:r>
              <w:rPr>
                <w:rFonts w:ascii="Arial" w:cs="Arial" w:eastAsia="Arial" w:hAnsi="Arial"/>
                <w:sz w:val="14"/>
                <w:szCs w:val="14"/>
                <w:b w:val="1"/>
                <w:bCs w:val="1"/>
                <w:color w:val="FFFFFF"/>
              </w:rPr>
              <w:t>Option Awards (1)</w:t>
            </w:r>
          </w:p>
        </w:tc>
        <w:tc>
          <w:tcPr>
            <w:tcW w:w="1120" w:type="dxa"/>
            <w:vAlign w:val="bottom"/>
            <w:shd w:val="clear" w:color="auto" w:fill="E36F1E"/>
          </w:tcPr>
          <w:p>
            <w:pPr>
              <w:spacing w:after="0"/>
              <w:rPr>
                <w:sz w:val="19"/>
                <w:szCs w:val="19"/>
                <w:color w:val="auto"/>
              </w:rPr>
            </w:pPr>
          </w:p>
        </w:tc>
        <w:tc>
          <w:tcPr>
            <w:tcW w:w="2740" w:type="dxa"/>
            <w:vAlign w:val="bottom"/>
            <w:gridSpan w:val="2"/>
            <w:shd w:val="clear" w:color="auto" w:fill="E36F1E"/>
          </w:tcPr>
          <w:p>
            <w:pPr>
              <w:jc w:val="right"/>
              <w:ind w:right="728"/>
              <w:spacing w:after="0"/>
              <w:rPr>
                <w:sz w:val="20"/>
                <w:szCs w:val="20"/>
                <w:color w:val="auto"/>
              </w:rPr>
            </w:pPr>
            <w:r>
              <w:rPr>
                <w:rFonts w:ascii="Arial" w:cs="Arial" w:eastAsia="Arial" w:hAnsi="Arial"/>
                <w:sz w:val="14"/>
                <w:szCs w:val="14"/>
                <w:b w:val="1"/>
                <w:bCs w:val="1"/>
                <w:color w:val="FFFFFF"/>
              </w:rPr>
              <w:t>Stock Awards (2)</w:t>
            </w:r>
          </w:p>
        </w:tc>
      </w:tr>
      <w:tr>
        <w:trPr>
          <w:trHeight w:val="162"/>
        </w:trPr>
        <w:tc>
          <w:tcPr>
            <w:tcW w:w="1780" w:type="dxa"/>
            <w:vAlign w:val="bottom"/>
            <w:shd w:val="clear" w:color="auto" w:fill="E36F1E"/>
          </w:tcPr>
          <w:p>
            <w:pPr>
              <w:spacing w:after="0"/>
              <w:rPr>
                <w:sz w:val="14"/>
                <w:szCs w:val="14"/>
                <w:color w:val="auto"/>
              </w:rPr>
            </w:pPr>
          </w:p>
        </w:tc>
        <w:tc>
          <w:tcPr>
            <w:tcW w:w="800" w:type="dxa"/>
            <w:vAlign w:val="bottom"/>
            <w:shd w:val="clear" w:color="auto" w:fill="E36F1E"/>
          </w:tcPr>
          <w:p>
            <w:pPr>
              <w:spacing w:after="0"/>
              <w:rPr>
                <w:sz w:val="14"/>
                <w:szCs w:val="14"/>
                <w:color w:val="auto"/>
              </w:rPr>
            </w:pPr>
          </w:p>
        </w:tc>
        <w:tc>
          <w:tcPr>
            <w:tcW w:w="1180" w:type="dxa"/>
            <w:vAlign w:val="bottom"/>
            <w:shd w:val="clear" w:color="auto" w:fill="E36F1E"/>
          </w:tcPr>
          <w:p>
            <w:pPr>
              <w:spacing w:after="0"/>
              <w:rPr>
                <w:sz w:val="14"/>
                <w:szCs w:val="14"/>
                <w:color w:val="auto"/>
              </w:rPr>
            </w:pPr>
          </w:p>
        </w:tc>
        <w:tc>
          <w:tcPr>
            <w:tcW w:w="106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Number of</w:t>
            </w:r>
          </w:p>
        </w:tc>
        <w:tc>
          <w:tcPr>
            <w:tcW w:w="14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Number of</w:t>
            </w:r>
          </w:p>
        </w:tc>
        <w:tc>
          <w:tcPr>
            <w:tcW w:w="1140" w:type="dxa"/>
            <w:vAlign w:val="bottom"/>
            <w:shd w:val="clear" w:color="auto" w:fill="E36F1E"/>
          </w:tcPr>
          <w:p>
            <w:pPr>
              <w:spacing w:after="0"/>
              <w:rPr>
                <w:sz w:val="14"/>
                <w:szCs w:val="14"/>
                <w:color w:val="auto"/>
              </w:rPr>
            </w:pPr>
          </w:p>
        </w:tc>
        <w:tc>
          <w:tcPr>
            <w:tcW w:w="1120" w:type="dxa"/>
            <w:vAlign w:val="bottom"/>
            <w:shd w:val="clear" w:color="auto" w:fill="E36F1E"/>
          </w:tcPr>
          <w:p>
            <w:pPr>
              <w:spacing w:after="0"/>
              <w:rPr>
                <w:sz w:val="14"/>
                <w:szCs w:val="14"/>
                <w:color w:val="auto"/>
              </w:rPr>
            </w:pPr>
          </w:p>
        </w:tc>
        <w:tc>
          <w:tcPr>
            <w:tcW w:w="1520" w:type="dxa"/>
            <w:vAlign w:val="bottom"/>
            <w:shd w:val="clear" w:color="auto" w:fill="E36F1E"/>
          </w:tcPr>
          <w:p>
            <w:pPr>
              <w:spacing w:after="0"/>
              <w:rPr>
                <w:sz w:val="14"/>
                <w:szCs w:val="14"/>
                <w:color w:val="auto"/>
              </w:rPr>
            </w:pPr>
          </w:p>
        </w:tc>
        <w:tc>
          <w:tcPr>
            <w:tcW w:w="1220" w:type="dxa"/>
            <w:vAlign w:val="bottom"/>
            <w:shd w:val="clear" w:color="auto" w:fill="E36F1E"/>
          </w:tcPr>
          <w:p>
            <w:pPr>
              <w:spacing w:after="0"/>
              <w:rPr>
                <w:sz w:val="14"/>
                <w:szCs w:val="14"/>
                <w:color w:val="auto"/>
              </w:rPr>
            </w:pPr>
          </w:p>
        </w:tc>
      </w:tr>
      <w:tr>
        <w:trPr>
          <w:trHeight w:val="162"/>
        </w:trPr>
        <w:tc>
          <w:tcPr>
            <w:tcW w:w="1780" w:type="dxa"/>
            <w:vAlign w:val="bottom"/>
            <w:shd w:val="clear" w:color="auto" w:fill="E36F1E"/>
          </w:tcPr>
          <w:p>
            <w:pPr>
              <w:spacing w:after="0"/>
              <w:rPr>
                <w:sz w:val="14"/>
                <w:szCs w:val="14"/>
                <w:color w:val="auto"/>
              </w:rPr>
            </w:pPr>
          </w:p>
        </w:tc>
        <w:tc>
          <w:tcPr>
            <w:tcW w:w="800" w:type="dxa"/>
            <w:vAlign w:val="bottom"/>
            <w:shd w:val="clear" w:color="auto" w:fill="E36F1E"/>
          </w:tcPr>
          <w:p>
            <w:pPr>
              <w:spacing w:after="0"/>
              <w:rPr>
                <w:sz w:val="14"/>
                <w:szCs w:val="14"/>
                <w:color w:val="auto"/>
              </w:rPr>
            </w:pPr>
          </w:p>
        </w:tc>
        <w:tc>
          <w:tcPr>
            <w:tcW w:w="1180" w:type="dxa"/>
            <w:vAlign w:val="bottom"/>
            <w:shd w:val="clear" w:color="auto" w:fill="E36F1E"/>
          </w:tcPr>
          <w:p>
            <w:pPr>
              <w:spacing w:after="0"/>
              <w:rPr>
                <w:sz w:val="14"/>
                <w:szCs w:val="14"/>
                <w:color w:val="auto"/>
              </w:rPr>
            </w:pPr>
          </w:p>
        </w:tc>
        <w:tc>
          <w:tcPr>
            <w:tcW w:w="106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Securities</w:t>
            </w:r>
          </w:p>
        </w:tc>
        <w:tc>
          <w:tcPr>
            <w:tcW w:w="14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Securities</w:t>
            </w:r>
          </w:p>
        </w:tc>
        <w:tc>
          <w:tcPr>
            <w:tcW w:w="1140" w:type="dxa"/>
            <w:vAlign w:val="bottom"/>
            <w:shd w:val="clear" w:color="auto" w:fill="E36F1E"/>
          </w:tcPr>
          <w:p>
            <w:pPr>
              <w:spacing w:after="0"/>
              <w:rPr>
                <w:sz w:val="14"/>
                <w:szCs w:val="14"/>
                <w:color w:val="auto"/>
              </w:rPr>
            </w:pPr>
          </w:p>
        </w:tc>
        <w:tc>
          <w:tcPr>
            <w:tcW w:w="1120" w:type="dxa"/>
            <w:vAlign w:val="bottom"/>
            <w:shd w:val="clear" w:color="auto" w:fill="E36F1E"/>
          </w:tcPr>
          <w:p>
            <w:pPr>
              <w:spacing w:after="0"/>
              <w:rPr>
                <w:sz w:val="14"/>
                <w:szCs w:val="14"/>
                <w:color w:val="auto"/>
              </w:rPr>
            </w:pPr>
          </w:p>
        </w:tc>
        <w:tc>
          <w:tcPr>
            <w:tcW w:w="1520" w:type="dxa"/>
            <w:vAlign w:val="bottom"/>
            <w:shd w:val="clear" w:color="auto" w:fill="E36F1E"/>
          </w:tcPr>
          <w:p>
            <w:pPr>
              <w:spacing w:after="0"/>
              <w:rPr>
                <w:sz w:val="14"/>
                <w:szCs w:val="14"/>
                <w:color w:val="auto"/>
              </w:rPr>
            </w:pPr>
          </w:p>
        </w:tc>
        <w:tc>
          <w:tcPr>
            <w:tcW w:w="12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1780" w:type="dxa"/>
            <w:vAlign w:val="bottom"/>
            <w:shd w:val="clear" w:color="auto" w:fill="E36F1E"/>
          </w:tcPr>
          <w:p>
            <w:pPr>
              <w:spacing w:after="0"/>
              <w:rPr>
                <w:sz w:val="14"/>
                <w:szCs w:val="14"/>
                <w:color w:val="auto"/>
              </w:rPr>
            </w:pPr>
          </w:p>
        </w:tc>
        <w:tc>
          <w:tcPr>
            <w:tcW w:w="800" w:type="dxa"/>
            <w:vAlign w:val="bottom"/>
            <w:shd w:val="clear" w:color="auto" w:fill="E36F1E"/>
          </w:tcPr>
          <w:p>
            <w:pPr>
              <w:spacing w:after="0"/>
              <w:rPr>
                <w:sz w:val="14"/>
                <w:szCs w:val="14"/>
                <w:color w:val="auto"/>
              </w:rPr>
            </w:pPr>
          </w:p>
        </w:tc>
        <w:tc>
          <w:tcPr>
            <w:tcW w:w="1180" w:type="dxa"/>
            <w:vAlign w:val="bottom"/>
            <w:shd w:val="clear" w:color="auto" w:fill="E36F1E"/>
          </w:tcPr>
          <w:p>
            <w:pPr>
              <w:spacing w:after="0"/>
              <w:rPr>
                <w:sz w:val="14"/>
                <w:szCs w:val="14"/>
                <w:color w:val="auto"/>
              </w:rPr>
            </w:pPr>
          </w:p>
        </w:tc>
        <w:tc>
          <w:tcPr>
            <w:tcW w:w="106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Underlying</w:t>
            </w:r>
          </w:p>
        </w:tc>
        <w:tc>
          <w:tcPr>
            <w:tcW w:w="14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Underlying</w:t>
            </w:r>
          </w:p>
        </w:tc>
        <w:tc>
          <w:tcPr>
            <w:tcW w:w="1140" w:type="dxa"/>
            <w:vAlign w:val="bottom"/>
            <w:shd w:val="clear" w:color="auto" w:fill="E36F1E"/>
          </w:tcPr>
          <w:p>
            <w:pPr>
              <w:spacing w:after="0"/>
              <w:rPr>
                <w:sz w:val="14"/>
                <w:szCs w:val="14"/>
                <w:color w:val="auto"/>
              </w:rPr>
            </w:pPr>
          </w:p>
        </w:tc>
        <w:tc>
          <w:tcPr>
            <w:tcW w:w="1120" w:type="dxa"/>
            <w:vAlign w:val="bottom"/>
            <w:shd w:val="clear" w:color="auto" w:fill="E36F1E"/>
          </w:tcPr>
          <w:p>
            <w:pPr>
              <w:spacing w:after="0"/>
              <w:rPr>
                <w:sz w:val="14"/>
                <w:szCs w:val="14"/>
                <w:color w:val="auto"/>
              </w:rPr>
            </w:pPr>
          </w:p>
        </w:tc>
        <w:tc>
          <w:tcPr>
            <w:tcW w:w="15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2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of Shares or</w:t>
            </w:r>
          </w:p>
        </w:tc>
      </w:tr>
      <w:tr>
        <w:trPr>
          <w:trHeight w:val="162"/>
        </w:trPr>
        <w:tc>
          <w:tcPr>
            <w:tcW w:w="1780" w:type="dxa"/>
            <w:vAlign w:val="bottom"/>
            <w:shd w:val="clear" w:color="auto" w:fill="E36F1E"/>
          </w:tcPr>
          <w:p>
            <w:pPr>
              <w:spacing w:after="0"/>
              <w:rPr>
                <w:sz w:val="14"/>
                <w:szCs w:val="14"/>
                <w:color w:val="auto"/>
              </w:rPr>
            </w:pPr>
          </w:p>
        </w:tc>
        <w:tc>
          <w:tcPr>
            <w:tcW w:w="800" w:type="dxa"/>
            <w:vAlign w:val="bottom"/>
            <w:shd w:val="clear" w:color="auto" w:fill="E36F1E"/>
          </w:tcPr>
          <w:p>
            <w:pPr>
              <w:spacing w:after="0"/>
              <w:rPr>
                <w:sz w:val="14"/>
                <w:szCs w:val="14"/>
                <w:color w:val="auto"/>
              </w:rPr>
            </w:pPr>
          </w:p>
        </w:tc>
        <w:tc>
          <w:tcPr>
            <w:tcW w:w="1180" w:type="dxa"/>
            <w:vAlign w:val="bottom"/>
            <w:shd w:val="clear" w:color="auto" w:fill="E36F1E"/>
          </w:tcPr>
          <w:p>
            <w:pPr>
              <w:spacing w:after="0"/>
              <w:rPr>
                <w:sz w:val="14"/>
                <w:szCs w:val="14"/>
                <w:color w:val="auto"/>
              </w:rPr>
            </w:pPr>
          </w:p>
        </w:tc>
        <w:tc>
          <w:tcPr>
            <w:tcW w:w="106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Unexercised</w:t>
            </w:r>
          </w:p>
        </w:tc>
        <w:tc>
          <w:tcPr>
            <w:tcW w:w="14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Unexercised</w:t>
            </w:r>
          </w:p>
        </w:tc>
        <w:tc>
          <w:tcPr>
            <w:tcW w:w="114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Option</w:t>
            </w:r>
          </w:p>
        </w:tc>
        <w:tc>
          <w:tcPr>
            <w:tcW w:w="11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Option</w:t>
            </w:r>
          </w:p>
        </w:tc>
        <w:tc>
          <w:tcPr>
            <w:tcW w:w="15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or Units of Stock</w:t>
            </w:r>
          </w:p>
        </w:tc>
        <w:tc>
          <w:tcPr>
            <w:tcW w:w="12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Units of Stock</w:t>
            </w:r>
          </w:p>
        </w:tc>
      </w:tr>
      <w:tr>
        <w:trPr>
          <w:trHeight w:val="162"/>
        </w:trPr>
        <w:tc>
          <w:tcPr>
            <w:tcW w:w="1780" w:type="dxa"/>
            <w:vAlign w:val="bottom"/>
            <w:shd w:val="clear" w:color="auto" w:fill="E36F1E"/>
          </w:tcPr>
          <w:p>
            <w:pPr>
              <w:spacing w:after="0"/>
              <w:rPr>
                <w:sz w:val="14"/>
                <w:szCs w:val="14"/>
                <w:color w:val="auto"/>
              </w:rPr>
            </w:pPr>
          </w:p>
        </w:tc>
        <w:tc>
          <w:tcPr>
            <w:tcW w:w="800" w:type="dxa"/>
            <w:vAlign w:val="bottom"/>
            <w:shd w:val="clear" w:color="auto" w:fill="E36F1E"/>
          </w:tcPr>
          <w:p>
            <w:pPr>
              <w:jc w:val="right"/>
              <w:ind w:right="88"/>
              <w:spacing w:after="0"/>
              <w:rPr>
                <w:sz w:val="20"/>
                <w:szCs w:val="20"/>
                <w:color w:val="auto"/>
              </w:rPr>
            </w:pPr>
            <w:r>
              <w:rPr>
                <w:rFonts w:ascii="Arial" w:cs="Arial" w:eastAsia="Arial" w:hAnsi="Arial"/>
                <w:sz w:val="14"/>
                <w:szCs w:val="14"/>
                <w:b w:val="1"/>
                <w:bCs w:val="1"/>
                <w:color w:val="FFFFFF"/>
              </w:rPr>
              <w:t>Grant</w:t>
            </w:r>
          </w:p>
        </w:tc>
        <w:tc>
          <w:tcPr>
            <w:tcW w:w="1180" w:type="dxa"/>
            <w:vAlign w:val="bottom"/>
            <w:shd w:val="clear" w:color="auto" w:fill="E36F1E"/>
          </w:tcPr>
          <w:p>
            <w:pPr>
              <w:jc w:val="right"/>
              <w:ind w:right="28"/>
              <w:spacing w:after="0"/>
              <w:rPr>
                <w:sz w:val="20"/>
                <w:szCs w:val="20"/>
                <w:color w:val="auto"/>
              </w:rPr>
            </w:pPr>
            <w:r>
              <w:rPr>
                <w:rFonts w:ascii="Arial" w:cs="Arial" w:eastAsia="Arial" w:hAnsi="Arial"/>
                <w:sz w:val="14"/>
                <w:szCs w:val="14"/>
                <w:b w:val="1"/>
                <w:bCs w:val="1"/>
                <w:color w:val="FFFFFF"/>
              </w:rPr>
              <w:t>Vesting Start</w:t>
            </w:r>
          </w:p>
        </w:tc>
        <w:tc>
          <w:tcPr>
            <w:tcW w:w="106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Options (#)</w:t>
            </w:r>
          </w:p>
        </w:tc>
        <w:tc>
          <w:tcPr>
            <w:tcW w:w="14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Options (#)</w:t>
            </w:r>
          </w:p>
        </w:tc>
        <w:tc>
          <w:tcPr>
            <w:tcW w:w="114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Exercise</w:t>
            </w:r>
          </w:p>
        </w:tc>
        <w:tc>
          <w:tcPr>
            <w:tcW w:w="11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Expiration</w:t>
            </w:r>
          </w:p>
        </w:tc>
        <w:tc>
          <w:tcPr>
            <w:tcW w:w="15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That Have Not</w:t>
            </w:r>
          </w:p>
        </w:tc>
        <w:tc>
          <w:tcPr>
            <w:tcW w:w="12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That Have Not</w:t>
            </w:r>
          </w:p>
        </w:tc>
      </w:tr>
      <w:tr>
        <w:trPr>
          <w:trHeight w:val="175"/>
        </w:trPr>
        <w:tc>
          <w:tcPr>
            <w:tcW w:w="17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 (3)</w:t>
            </w:r>
          </w:p>
        </w:tc>
        <w:tc>
          <w:tcPr>
            <w:tcW w:w="800" w:type="dxa"/>
            <w:vAlign w:val="bottom"/>
            <w:shd w:val="clear" w:color="auto" w:fill="E36F1E"/>
          </w:tcPr>
          <w:p>
            <w:pPr>
              <w:jc w:val="right"/>
              <w:ind w:right="128"/>
              <w:spacing w:after="0"/>
              <w:rPr>
                <w:sz w:val="20"/>
                <w:szCs w:val="20"/>
                <w:color w:val="auto"/>
              </w:rPr>
            </w:pPr>
            <w:r>
              <w:rPr>
                <w:rFonts w:ascii="Arial" w:cs="Arial" w:eastAsia="Arial" w:hAnsi="Arial"/>
                <w:sz w:val="14"/>
                <w:szCs w:val="14"/>
                <w:b w:val="1"/>
                <w:bCs w:val="1"/>
                <w:color w:val="FFFFFF"/>
              </w:rPr>
              <w:t>Date</w:t>
            </w:r>
          </w:p>
        </w:tc>
        <w:tc>
          <w:tcPr>
            <w:tcW w:w="1180" w:type="dxa"/>
            <w:vAlign w:val="bottom"/>
            <w:shd w:val="clear" w:color="auto" w:fill="E36F1E"/>
          </w:tcPr>
          <w:p>
            <w:pPr>
              <w:jc w:val="right"/>
              <w:ind w:right="208"/>
              <w:spacing w:after="0"/>
              <w:rPr>
                <w:sz w:val="20"/>
                <w:szCs w:val="20"/>
                <w:color w:val="auto"/>
              </w:rPr>
            </w:pPr>
            <w:r>
              <w:rPr>
                <w:rFonts w:ascii="Arial" w:cs="Arial" w:eastAsia="Arial" w:hAnsi="Arial"/>
                <w:sz w:val="14"/>
                <w:szCs w:val="14"/>
                <w:b w:val="1"/>
                <w:bCs w:val="1"/>
                <w:color w:val="FFFFFF"/>
              </w:rPr>
              <w:t>Date (4)</w:t>
            </w:r>
          </w:p>
        </w:tc>
        <w:tc>
          <w:tcPr>
            <w:tcW w:w="106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Exercisable</w:t>
            </w:r>
          </w:p>
        </w:tc>
        <w:tc>
          <w:tcPr>
            <w:tcW w:w="14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Unexercisable</w:t>
            </w:r>
          </w:p>
        </w:tc>
        <w:tc>
          <w:tcPr>
            <w:tcW w:w="114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Price ($)</w:t>
            </w:r>
          </w:p>
        </w:tc>
        <w:tc>
          <w:tcPr>
            <w:tcW w:w="11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Date</w:t>
            </w:r>
          </w:p>
        </w:tc>
        <w:tc>
          <w:tcPr>
            <w:tcW w:w="15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Vested (#)</w:t>
            </w:r>
          </w:p>
        </w:tc>
        <w:tc>
          <w:tcPr>
            <w:tcW w:w="12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Vested (#) (5)</w:t>
            </w:r>
          </w:p>
        </w:tc>
      </w:tr>
      <w:tr>
        <w:trPr>
          <w:trHeight w:val="175"/>
        </w:trPr>
        <w:tc>
          <w:tcPr>
            <w:tcW w:w="178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3/9/2010</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3/9/2010</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1.53</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3/9/2020</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5/8/2012</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4/1/2012</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266,666</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5.76</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5/8/2022</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1/29/2014</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1/1/2014</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16.14</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1/29/2024</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2/10/2015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1/1/2015</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28,333</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34.76</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2/10/2025</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17,398</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371</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40.59</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1/29/2026</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472</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74,812</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25,270</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9,386</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52.80</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2/1/2027</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12,206</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1,934,651</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7,126</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9,163</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112.15</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3/1/2028</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11,469</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1,817,837</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12,088</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159.70</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2/1/2029</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15,860</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2,513,810</w:t>
            </w:r>
          </w:p>
        </w:tc>
      </w:tr>
      <w:tr>
        <w:trPr>
          <w:trHeight w:val="190"/>
        </w:trPr>
        <w:tc>
          <w:tcPr>
            <w:tcW w:w="1780" w:type="dxa"/>
            <w:vAlign w:val="bottom"/>
          </w:tcPr>
          <w:p>
            <w:pPr>
              <w:spacing w:after="0"/>
              <w:rPr>
                <w:sz w:val="20"/>
                <w:szCs w:val="20"/>
                <w:color w:val="auto"/>
              </w:rPr>
            </w:pPr>
            <w:r>
              <w:rPr>
                <w:rFonts w:ascii="Arial" w:cs="Arial" w:eastAsia="Arial" w:hAnsi="Arial"/>
                <w:sz w:val="14"/>
                <w:szCs w:val="14"/>
                <w:color w:val="auto"/>
              </w:rPr>
              <w:t>Kate Bueker (6)</w:t>
            </w:r>
          </w:p>
        </w:tc>
        <w:tc>
          <w:tcPr>
            <w:tcW w:w="800" w:type="dxa"/>
            <w:vAlign w:val="bottom"/>
          </w:tcPr>
          <w:p>
            <w:pPr>
              <w:jc w:val="right"/>
              <w:spacing w:after="0"/>
              <w:rPr>
                <w:sz w:val="20"/>
                <w:szCs w:val="20"/>
                <w:color w:val="auto"/>
              </w:rPr>
            </w:pPr>
            <w:r>
              <w:rPr>
                <w:rFonts w:ascii="Arial" w:cs="Arial" w:eastAsia="Arial" w:hAnsi="Arial"/>
                <w:sz w:val="14"/>
                <w:szCs w:val="14"/>
                <w:color w:val="auto"/>
              </w:rPr>
              <w:t>7/2/2018</w:t>
            </w:r>
          </w:p>
        </w:tc>
        <w:tc>
          <w:tcPr>
            <w:tcW w:w="1180" w:type="dxa"/>
            <w:vAlign w:val="bottom"/>
          </w:tcPr>
          <w:p>
            <w:pPr>
              <w:jc w:val="right"/>
              <w:spacing w:after="0"/>
              <w:rPr>
                <w:sz w:val="20"/>
                <w:szCs w:val="20"/>
                <w:color w:val="auto"/>
              </w:rPr>
            </w:pPr>
            <w:r>
              <w:rPr>
                <w:rFonts w:ascii="Arial" w:cs="Arial" w:eastAsia="Arial" w:hAnsi="Arial"/>
                <w:sz w:val="14"/>
                <w:szCs w:val="14"/>
                <w:color w:val="auto"/>
              </w:rPr>
              <w:t>7/1/2018</w:t>
            </w:r>
          </w:p>
        </w:tc>
        <w:tc>
          <w:tcPr>
            <w:tcW w:w="1060" w:type="dxa"/>
            <w:vAlign w:val="bottom"/>
          </w:tcPr>
          <w:p>
            <w:pPr>
              <w:jc w:val="right"/>
              <w:spacing w:after="0"/>
              <w:rPr>
                <w:sz w:val="20"/>
                <w:szCs w:val="20"/>
                <w:color w:val="auto"/>
              </w:rPr>
            </w:pPr>
            <w:r>
              <w:rPr>
                <w:rFonts w:ascii="Arial" w:cs="Arial" w:eastAsia="Arial" w:hAnsi="Arial"/>
                <w:sz w:val="14"/>
                <w:szCs w:val="14"/>
                <w:color w:val="auto"/>
              </w:rPr>
              <w:t>2,666</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5,866</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128.10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7/2/2028</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7/2/2018</w:t>
            </w:r>
          </w:p>
        </w:tc>
        <w:tc>
          <w:tcPr>
            <w:tcW w:w="1180" w:type="dxa"/>
            <w:vAlign w:val="bottom"/>
          </w:tcPr>
          <w:p>
            <w:pPr>
              <w:jc w:val="right"/>
              <w:spacing w:after="0"/>
              <w:rPr>
                <w:sz w:val="20"/>
                <w:szCs w:val="20"/>
                <w:color w:val="auto"/>
              </w:rPr>
            </w:pPr>
            <w:r>
              <w:rPr>
                <w:rFonts w:ascii="Arial" w:cs="Arial" w:eastAsia="Arial" w:hAnsi="Arial"/>
                <w:sz w:val="14"/>
                <w:szCs w:val="14"/>
                <w:color w:val="auto"/>
              </w:rPr>
              <w:t>7/1/2018</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8,074</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1,279,729</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7/2/2018</w:t>
            </w:r>
          </w:p>
        </w:tc>
        <w:tc>
          <w:tcPr>
            <w:tcW w:w="1180" w:type="dxa"/>
            <w:vAlign w:val="bottom"/>
          </w:tcPr>
          <w:p>
            <w:pPr>
              <w:jc w:val="right"/>
              <w:spacing w:after="0"/>
              <w:rPr>
                <w:sz w:val="20"/>
                <w:szCs w:val="20"/>
                <w:color w:val="auto"/>
              </w:rPr>
            </w:pPr>
            <w:r>
              <w:rPr>
                <w:rFonts w:ascii="Arial" w:cs="Arial" w:eastAsia="Arial" w:hAnsi="Arial"/>
                <w:sz w:val="14"/>
                <w:szCs w:val="14"/>
                <w:color w:val="auto"/>
              </w:rPr>
              <w:t>7/1/2018</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13,458</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2,133,093</w:t>
            </w:r>
          </w:p>
        </w:tc>
      </w:tr>
      <w:tr>
        <w:trPr>
          <w:trHeight w:val="176"/>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tcPr>
          <w:p>
            <w:pPr>
              <w:jc w:val="right"/>
              <w:spacing w:after="0"/>
              <w:rPr>
                <w:sz w:val="20"/>
                <w:szCs w:val="20"/>
                <w:color w:val="auto"/>
              </w:rPr>
            </w:pPr>
            <w:r>
              <w:rPr>
                <w:rFonts w:ascii="Arial" w:cs="Arial" w:eastAsia="Arial" w:hAnsi="Arial"/>
                <w:sz w:val="14"/>
                <w:szCs w:val="14"/>
                <w:color w:val="auto"/>
              </w:rPr>
              <w:t>1,752</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7,595</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159.70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2/1/2029</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1"/>
        </w:trPr>
        <w:tc>
          <w:tcPr>
            <w:tcW w:w="17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9,965</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1,579,453</w:t>
            </w:r>
          </w:p>
        </w:tc>
      </w:tr>
      <w:tr>
        <w:trPr>
          <w:trHeight w:val="175"/>
        </w:trPr>
        <w:tc>
          <w:tcPr>
            <w:tcW w:w="178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7/26/2012</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6/25/2012</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9,616</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5.76</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7/26/2022</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1/29/2014</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1/1/2014</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1,586</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16.14</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1/29/2024</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2/10/2015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1/1/2015</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5,458</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34.76</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2/10/2025</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3,702</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232</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40.59</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1/29/2026</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296</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46,916</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3,177</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2,582</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52.80</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2/1/2027</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3,357</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532,085</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2,992</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3,849</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112.15</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3/1/2028</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4,817</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763,495</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4,187</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159.70</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2/1/2029</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5,494</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870,799</w:t>
            </w:r>
          </w:p>
        </w:tc>
      </w:tr>
      <w:tr>
        <w:trPr>
          <w:trHeight w:val="190"/>
        </w:trPr>
        <w:tc>
          <w:tcPr>
            <w:tcW w:w="1780" w:type="dxa"/>
            <w:vAlign w:val="bottom"/>
          </w:tcPr>
          <w:p>
            <w:pPr>
              <w:spacing w:after="0"/>
              <w:rPr>
                <w:sz w:val="20"/>
                <w:szCs w:val="20"/>
                <w:color w:val="auto"/>
              </w:rPr>
            </w:pPr>
            <w:r>
              <w:rPr>
                <w:rFonts w:ascii="Arial" w:cs="Arial" w:eastAsia="Arial" w:hAnsi="Arial"/>
                <w:sz w:val="14"/>
                <w:szCs w:val="14"/>
                <w:color w:val="auto"/>
              </w:rPr>
              <w:t>Dharmesh Shah</w:t>
            </w:r>
          </w:p>
        </w:tc>
        <w:tc>
          <w:tcPr>
            <w:tcW w:w="800" w:type="dxa"/>
            <w:vAlign w:val="bottom"/>
          </w:tcPr>
          <w:p>
            <w:pPr>
              <w:jc w:val="right"/>
              <w:spacing w:after="0"/>
              <w:rPr>
                <w:sz w:val="20"/>
                <w:szCs w:val="20"/>
                <w:color w:val="auto"/>
              </w:rPr>
            </w:pPr>
            <w:r>
              <w:rPr>
                <w:rFonts w:ascii="Arial" w:cs="Arial" w:eastAsia="Arial" w:hAnsi="Arial"/>
                <w:sz w:val="14"/>
                <w:szCs w:val="14"/>
                <w:color w:val="auto"/>
              </w:rPr>
              <w:t>3/9/2010</w:t>
            </w:r>
          </w:p>
        </w:tc>
        <w:tc>
          <w:tcPr>
            <w:tcW w:w="1180" w:type="dxa"/>
            <w:vAlign w:val="bottom"/>
          </w:tcPr>
          <w:p>
            <w:pPr>
              <w:jc w:val="right"/>
              <w:spacing w:after="0"/>
              <w:rPr>
                <w:sz w:val="20"/>
                <w:szCs w:val="20"/>
                <w:color w:val="auto"/>
              </w:rPr>
            </w:pPr>
            <w:r>
              <w:rPr>
                <w:rFonts w:ascii="Arial" w:cs="Arial" w:eastAsia="Arial" w:hAnsi="Arial"/>
                <w:sz w:val="14"/>
                <w:szCs w:val="14"/>
                <w:color w:val="auto"/>
              </w:rPr>
              <w:t>3/9/2010</w:t>
            </w:r>
          </w:p>
        </w:tc>
        <w:tc>
          <w:tcPr>
            <w:tcW w:w="1060" w:type="dxa"/>
            <w:vAlign w:val="bottom"/>
          </w:tcPr>
          <w:p>
            <w:pPr>
              <w:jc w:val="right"/>
              <w:spacing w:after="0"/>
              <w:rPr>
                <w:sz w:val="20"/>
                <w:szCs w:val="20"/>
                <w:color w:val="auto"/>
              </w:rPr>
            </w:pPr>
            <w:r>
              <w:rPr>
                <w:rFonts w:ascii="Arial" w:cs="Arial" w:eastAsia="Arial" w:hAnsi="Arial"/>
                <w:sz w:val="14"/>
                <w:szCs w:val="14"/>
                <w:color w:val="auto"/>
              </w:rPr>
              <w:t>149,958</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3/9/2020</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1/29/2014</w:t>
            </w:r>
          </w:p>
        </w:tc>
        <w:tc>
          <w:tcPr>
            <w:tcW w:w="1180" w:type="dxa"/>
            <w:vAlign w:val="bottom"/>
          </w:tcPr>
          <w:p>
            <w:pPr>
              <w:jc w:val="right"/>
              <w:spacing w:after="0"/>
              <w:rPr>
                <w:sz w:val="20"/>
                <w:szCs w:val="20"/>
                <w:color w:val="auto"/>
              </w:rPr>
            </w:pPr>
            <w:r>
              <w:rPr>
                <w:rFonts w:ascii="Arial" w:cs="Arial" w:eastAsia="Arial" w:hAnsi="Arial"/>
                <w:sz w:val="14"/>
                <w:szCs w:val="14"/>
                <w:color w:val="auto"/>
              </w:rPr>
              <w:t>1/1/2014</w:t>
            </w:r>
          </w:p>
        </w:tc>
        <w:tc>
          <w:tcPr>
            <w:tcW w:w="1060" w:type="dxa"/>
            <w:vAlign w:val="bottom"/>
          </w:tcPr>
          <w:p>
            <w:pPr>
              <w:jc w:val="right"/>
              <w:spacing w:after="0"/>
              <w:rPr>
                <w:sz w:val="20"/>
                <w:szCs w:val="20"/>
                <w:color w:val="auto"/>
              </w:rPr>
            </w:pPr>
            <w:r>
              <w:rPr>
                <w:rFonts w:ascii="Arial" w:cs="Arial" w:eastAsia="Arial" w:hAnsi="Arial"/>
                <w:sz w:val="14"/>
                <w:szCs w:val="14"/>
                <w:color w:val="auto"/>
              </w:rPr>
              <w:t>5,000</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16.14</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1/29/2024</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2/10/2015</w:t>
            </w:r>
          </w:p>
        </w:tc>
        <w:tc>
          <w:tcPr>
            <w:tcW w:w="1180" w:type="dxa"/>
            <w:vAlign w:val="bottom"/>
          </w:tcPr>
          <w:p>
            <w:pPr>
              <w:jc w:val="right"/>
              <w:spacing w:after="0"/>
              <w:rPr>
                <w:sz w:val="20"/>
                <w:szCs w:val="20"/>
                <w:color w:val="auto"/>
              </w:rPr>
            </w:pPr>
            <w:r>
              <w:rPr>
                <w:rFonts w:ascii="Arial" w:cs="Arial" w:eastAsia="Arial" w:hAnsi="Arial"/>
                <w:sz w:val="14"/>
                <w:szCs w:val="14"/>
                <w:color w:val="auto"/>
              </w:rPr>
              <w:t>1/1/2015</w:t>
            </w:r>
          </w:p>
        </w:tc>
        <w:tc>
          <w:tcPr>
            <w:tcW w:w="1060" w:type="dxa"/>
            <w:vAlign w:val="bottom"/>
          </w:tcPr>
          <w:p>
            <w:pPr>
              <w:jc w:val="right"/>
              <w:spacing w:after="0"/>
              <w:rPr>
                <w:sz w:val="20"/>
                <w:szCs w:val="20"/>
                <w:color w:val="auto"/>
              </w:rPr>
            </w:pPr>
            <w:r>
              <w:rPr>
                <w:rFonts w:ascii="Arial" w:cs="Arial" w:eastAsia="Arial" w:hAnsi="Arial"/>
                <w:sz w:val="14"/>
                <w:szCs w:val="14"/>
                <w:color w:val="auto"/>
              </w:rPr>
              <w:t>16,667</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34.76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2/10/2025</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tcPr>
          <w:p>
            <w:pPr>
              <w:jc w:val="right"/>
              <w:spacing w:after="0"/>
              <w:rPr>
                <w:sz w:val="20"/>
                <w:szCs w:val="20"/>
                <w:color w:val="auto"/>
              </w:rPr>
            </w:pPr>
            <w:r>
              <w:rPr>
                <w:rFonts w:ascii="Arial" w:cs="Arial" w:eastAsia="Arial" w:hAnsi="Arial"/>
                <w:sz w:val="14"/>
                <w:szCs w:val="14"/>
                <w:color w:val="auto"/>
              </w:rPr>
              <w:t>19,573</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417</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40.59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1/29/2026</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531</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84,164</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tcPr>
          <w:p>
            <w:pPr>
              <w:jc w:val="right"/>
              <w:spacing w:after="0"/>
              <w:rPr>
                <w:sz w:val="20"/>
                <w:szCs w:val="20"/>
                <w:color w:val="auto"/>
              </w:rPr>
            </w:pPr>
            <w:r>
              <w:rPr>
                <w:rFonts w:ascii="Arial" w:cs="Arial" w:eastAsia="Arial" w:hAnsi="Arial"/>
                <w:sz w:val="14"/>
                <w:szCs w:val="14"/>
                <w:color w:val="auto"/>
              </w:rPr>
              <w:t>11,370</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4,225</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52.80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2/1/2027</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5,493</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870,641</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tcPr>
          <w:p>
            <w:pPr>
              <w:jc w:val="right"/>
              <w:spacing w:after="0"/>
              <w:rPr>
                <w:sz w:val="20"/>
                <w:szCs w:val="20"/>
                <w:color w:val="auto"/>
              </w:rPr>
            </w:pPr>
            <w:r>
              <w:rPr>
                <w:rFonts w:ascii="Arial" w:cs="Arial" w:eastAsia="Arial" w:hAnsi="Arial"/>
                <w:sz w:val="14"/>
                <w:szCs w:val="14"/>
                <w:color w:val="auto"/>
              </w:rPr>
              <w:t>4,923</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6,331</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112.15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3/1/2028</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7,924</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1,255,954</w:t>
            </w:r>
          </w:p>
        </w:tc>
      </w:tr>
      <w:tr>
        <w:trPr>
          <w:trHeight w:val="175"/>
        </w:trPr>
        <w:tc>
          <w:tcPr>
            <w:tcW w:w="1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tcPr>
          <w:p>
            <w:pPr>
              <w:jc w:val="right"/>
              <w:spacing w:after="0"/>
              <w:rPr>
                <w:sz w:val="20"/>
                <w:szCs w:val="20"/>
                <w:color w:val="auto"/>
              </w:rPr>
            </w:pPr>
            <w:r>
              <w:rPr>
                <w:rFonts w:ascii="Arial" w:cs="Arial" w:eastAsia="Arial" w:hAnsi="Arial"/>
                <w:sz w:val="14"/>
                <w:szCs w:val="14"/>
                <w:color w:val="auto"/>
              </w:rPr>
              <w:t>1,547</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6,704</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159.70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2/1/2029</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0"/>
        </w:trPr>
        <w:tc>
          <w:tcPr>
            <w:tcW w:w="17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8,797</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1,394,325</w:t>
            </w:r>
          </w:p>
        </w:tc>
      </w:tr>
      <w:tr>
        <w:trPr>
          <w:trHeight w:val="176"/>
        </w:trPr>
        <w:tc>
          <w:tcPr>
            <w:tcW w:w="1780" w:type="dxa"/>
            <w:vAlign w:val="bottom"/>
            <w:shd w:val="clear" w:color="auto" w:fill="CFF0FC"/>
          </w:tcPr>
          <w:p>
            <w:pPr>
              <w:spacing w:after="0"/>
              <w:rPr>
                <w:sz w:val="20"/>
                <w:szCs w:val="20"/>
                <w:color w:val="auto"/>
              </w:rPr>
            </w:pPr>
            <w:r>
              <w:rPr>
                <w:rFonts w:ascii="Arial" w:cs="Arial" w:eastAsia="Arial" w:hAnsi="Arial"/>
                <w:sz w:val="14"/>
                <w:szCs w:val="14"/>
                <w:color w:val="auto"/>
              </w:rPr>
              <w:t>JD Sherman</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5/8/2012</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3/1/2012</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253,223</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5.76</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5/8/2022</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1/29/2014</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1/1/2014</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3,751</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16.14</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1/29/2024</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2/10/2015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1/1/2015</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14,370</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34.76</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2/10/2025</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2/10/2015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1/1/2015</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22,695</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484</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40.59</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1/29/2026</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1/29/2016</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1/1/2016</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616</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97,636</w:t>
            </w:r>
          </w:p>
        </w:tc>
      </w:tr>
      <w:tr>
        <w:trPr>
          <w:trHeight w:val="176"/>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15,750</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5,852</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52.80</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2/1/2027</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2/1/2017</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1/1/2017</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7,608</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1,205,868</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6,063</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7,797</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112.15</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3/1/2028</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3/1/2018</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1/1/2018</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9,759</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1,546,802</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1,972</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8,550</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159.70</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2/1/2029</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17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1/1/2019</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11,217</w:t>
            </w:r>
          </w:p>
        </w:tc>
        <w:tc>
          <w:tcPr>
            <w:tcW w:w="1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1,777,895</w:t>
            </w:r>
          </w:p>
        </w:tc>
      </w:tr>
    </w:tbl>
    <w:p>
      <w:pPr>
        <w:spacing w:after="0" w:line="113" w:lineRule="exact"/>
        <w:rPr>
          <w:sz w:val="20"/>
          <w:szCs w:val="20"/>
          <w:color w:val="auto"/>
        </w:rPr>
      </w:pPr>
    </w:p>
    <w:p>
      <w:pPr>
        <w:ind w:left="500" w:right="200" w:hanging="492"/>
        <w:spacing w:after="0" w:line="258"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Unless otherwise indicated, these stock options vest over four years, with the earlier awards (granted prior to 2018) vesting in 48 equal monthly installments, and later awards (granted in 2018) vesting in 16 equal quarterly installments, subject to the named executive officer’s continued employment through such vesting date.</w:t>
      </w:r>
    </w:p>
    <w:p>
      <w:pPr>
        <w:spacing w:after="0" w:line="166" w:lineRule="exact"/>
        <w:rPr>
          <w:sz w:val="20"/>
          <w:szCs w:val="20"/>
          <w:color w:val="auto"/>
        </w:rPr>
      </w:pPr>
    </w:p>
    <w:p>
      <w:pPr>
        <w:ind w:left="7460"/>
        <w:spacing w:after="0"/>
        <w:tabs>
          <w:tab w:leader="none" w:pos="1102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9" w:name="page40"/>
    <w:bookmarkEnd w:id="39"/>
    <w:p>
      <w:pPr>
        <w:ind w:left="492" w:right="160" w:hanging="492"/>
        <w:spacing w:after="0" w:line="258"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Unless otherwise indicated, these RSUs vest over four years, with the earlier awards (granted prior to 2018) vesting in 48 equal monthly installments, and later awards (granted in 2018) vesting in 16 equal quarterly installments, subject to the named executive officer’s continued employment through such vesting date.</w:t>
      </w:r>
    </w:p>
    <w:p>
      <w:pPr>
        <w:spacing w:after="0" w:line="85" w:lineRule="exact"/>
        <w:rPr>
          <w:rFonts w:ascii="Arial" w:cs="Arial" w:eastAsia="Arial" w:hAnsi="Arial"/>
          <w:sz w:val="14"/>
          <w:szCs w:val="14"/>
          <w:color w:val="auto"/>
        </w:rPr>
      </w:pPr>
    </w:p>
    <w:p>
      <w:pPr>
        <w:ind w:left="492" w:right="600" w:hanging="492"/>
        <w:spacing w:after="0" w:line="258"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Madeley is not included in this table because he did not have any outstanding equity awards as of December 31, 2019. His last day of employment with the Company was July 2, 2019.</w:t>
      </w:r>
    </w:p>
    <w:p>
      <w:pPr>
        <w:spacing w:after="0" w:line="85" w:lineRule="exact"/>
        <w:rPr>
          <w:rFonts w:ascii="Arial" w:cs="Arial" w:eastAsia="Arial" w:hAnsi="Arial"/>
          <w:sz w:val="14"/>
          <w:szCs w:val="14"/>
          <w:color w:val="auto"/>
        </w:rPr>
      </w:pPr>
    </w:p>
    <w:p>
      <w:pPr>
        <w:ind w:left="492" w:hanging="492"/>
        <w:spacing w:after="0"/>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vesting start date is fixed by the Compensation Committee when granting equity awards.</w:t>
      </w:r>
    </w:p>
    <w:p>
      <w:pPr>
        <w:spacing w:after="0" w:line="109" w:lineRule="exact"/>
        <w:rPr>
          <w:rFonts w:ascii="Arial" w:cs="Arial" w:eastAsia="Arial" w:hAnsi="Arial"/>
          <w:sz w:val="14"/>
          <w:szCs w:val="14"/>
          <w:color w:val="auto"/>
        </w:rPr>
      </w:pPr>
    </w:p>
    <w:p>
      <w:pPr>
        <w:ind w:left="492" w:right="200" w:hanging="492"/>
        <w:spacing w:after="0" w:line="258"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fair market value of the unvested shares of our common stock as of December 31, 2019 based upon the closing market price of our common stock on such date of $158.50 per share.</w:t>
      </w:r>
    </w:p>
    <w:p>
      <w:pPr>
        <w:spacing w:after="0" w:line="85" w:lineRule="exact"/>
        <w:rPr>
          <w:rFonts w:ascii="Arial" w:cs="Arial" w:eastAsia="Arial" w:hAnsi="Arial"/>
          <w:sz w:val="14"/>
          <w:szCs w:val="14"/>
          <w:color w:val="auto"/>
        </w:rPr>
      </w:pPr>
    </w:p>
    <w:p>
      <w:pPr>
        <w:ind w:left="492" w:right="280" w:hanging="492"/>
        <w:spacing w:after="0" w:line="258"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portion of the equity awards granted to Ms. Bueker on July 1, 2018 vests over four years, with 25% vesting on first anniversary of the grant date and the remaining 75% vesting in equal quarterly installments thereafter.</w:t>
      </w:r>
    </w:p>
    <w:p>
      <w:pPr>
        <w:spacing w:after="0" w:line="1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468" w:right="339" w:bottom="1440" w:gutter="0" w:footer="0" w:header="0"/>
        </w:sectPr>
      </w:pPr>
    </w:p>
    <w:bookmarkStart w:id="40" w:name="page41"/>
    <w:bookmarkEnd w:id="40"/>
    <w:p>
      <w:pPr>
        <w:spacing w:after="0"/>
        <w:rPr>
          <w:sz w:val="20"/>
          <w:szCs w:val="20"/>
          <w:color w:val="auto"/>
        </w:rPr>
      </w:pPr>
      <w:r>
        <w:rPr>
          <w:rFonts w:ascii="Arial" w:cs="Arial" w:eastAsia="Arial" w:hAnsi="Arial"/>
          <w:sz w:val="29"/>
          <w:szCs w:val="29"/>
          <w:b w:val="1"/>
          <w:bCs w:val="1"/>
          <w:color w:val="E36C0A"/>
        </w:rPr>
        <w:t>2019 OPTIONS EXERCISED AND STOCK VESTED TABLE</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140" w:type="dxa"/>
            <w:vAlign w:val="bottom"/>
            <w:shd w:val="clear" w:color="auto" w:fill="E36F1E"/>
          </w:tcPr>
          <w:p>
            <w:pPr>
              <w:spacing w:after="0"/>
              <w:rPr>
                <w:sz w:val="19"/>
                <w:szCs w:val="19"/>
                <w:color w:val="auto"/>
              </w:rPr>
            </w:pPr>
          </w:p>
        </w:tc>
        <w:tc>
          <w:tcPr>
            <w:tcW w:w="2520" w:type="dxa"/>
            <w:vAlign w:val="bottom"/>
            <w:gridSpan w:val="2"/>
            <w:shd w:val="clear" w:color="auto" w:fill="E36F1E"/>
          </w:tcPr>
          <w:p>
            <w:pPr>
              <w:jc w:val="right"/>
              <w:ind w:right="688"/>
              <w:spacing w:after="0"/>
              <w:rPr>
                <w:sz w:val="20"/>
                <w:szCs w:val="20"/>
                <w:color w:val="auto"/>
              </w:rPr>
            </w:pPr>
            <w:r>
              <w:rPr>
                <w:rFonts w:ascii="Arial" w:cs="Arial" w:eastAsia="Arial" w:hAnsi="Arial"/>
                <w:sz w:val="14"/>
                <w:szCs w:val="14"/>
                <w:b w:val="1"/>
                <w:bCs w:val="1"/>
                <w:color w:val="FFFFFF"/>
              </w:rPr>
              <w:t>Option Awards</w:t>
            </w:r>
          </w:p>
        </w:tc>
        <w:tc>
          <w:tcPr>
            <w:tcW w:w="2440" w:type="dxa"/>
            <w:vAlign w:val="bottom"/>
            <w:gridSpan w:val="2"/>
            <w:shd w:val="clear" w:color="auto" w:fill="E36F1E"/>
          </w:tcPr>
          <w:p>
            <w:pPr>
              <w:jc w:val="right"/>
              <w:ind w:right="688"/>
              <w:spacing w:after="0"/>
              <w:rPr>
                <w:sz w:val="20"/>
                <w:szCs w:val="20"/>
                <w:color w:val="auto"/>
              </w:rPr>
            </w:pPr>
            <w:r>
              <w:rPr>
                <w:rFonts w:ascii="Arial" w:cs="Arial" w:eastAsia="Arial" w:hAnsi="Arial"/>
                <w:sz w:val="14"/>
                <w:szCs w:val="14"/>
                <w:b w:val="1"/>
                <w:bCs w:val="1"/>
                <w:color w:val="FFFFFF"/>
              </w:rPr>
              <w:t>Stock Awards</w:t>
            </w:r>
          </w:p>
        </w:tc>
      </w:tr>
      <w:tr>
        <w:trPr>
          <w:trHeight w:val="176"/>
        </w:trPr>
        <w:tc>
          <w:tcPr>
            <w:tcW w:w="5140" w:type="dxa"/>
            <w:vAlign w:val="bottom"/>
            <w:shd w:val="clear" w:color="auto" w:fill="E36F1E"/>
          </w:tcPr>
          <w:p>
            <w:pPr>
              <w:spacing w:after="0"/>
              <w:rPr>
                <w:sz w:val="15"/>
                <w:szCs w:val="15"/>
                <w:color w:val="auto"/>
              </w:rPr>
            </w:pPr>
          </w:p>
        </w:tc>
        <w:tc>
          <w:tcPr>
            <w:tcW w:w="114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Number of</w:t>
            </w:r>
          </w:p>
        </w:tc>
        <w:tc>
          <w:tcPr>
            <w:tcW w:w="1380" w:type="dxa"/>
            <w:vAlign w:val="bottom"/>
            <w:shd w:val="clear" w:color="auto" w:fill="E36F1E"/>
          </w:tcPr>
          <w:p>
            <w:pPr>
              <w:spacing w:after="0"/>
              <w:rPr>
                <w:sz w:val="15"/>
                <w:szCs w:val="15"/>
                <w:color w:val="auto"/>
              </w:rPr>
            </w:pPr>
          </w:p>
        </w:tc>
        <w:tc>
          <w:tcPr>
            <w:tcW w:w="126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E36F1E"/>
          </w:tcPr>
          <w:p>
            <w:pPr>
              <w:spacing w:after="0"/>
              <w:rPr>
                <w:sz w:val="15"/>
                <w:szCs w:val="15"/>
                <w:color w:val="auto"/>
              </w:rPr>
            </w:pPr>
          </w:p>
        </w:tc>
      </w:tr>
      <w:tr>
        <w:trPr>
          <w:trHeight w:val="176"/>
        </w:trPr>
        <w:tc>
          <w:tcPr>
            <w:tcW w:w="5140" w:type="dxa"/>
            <w:vAlign w:val="bottom"/>
            <w:shd w:val="clear" w:color="auto" w:fill="E36F1E"/>
          </w:tcPr>
          <w:p>
            <w:pPr>
              <w:spacing w:after="0"/>
              <w:rPr>
                <w:sz w:val="15"/>
                <w:szCs w:val="15"/>
                <w:color w:val="auto"/>
              </w:rPr>
            </w:pPr>
          </w:p>
        </w:tc>
        <w:tc>
          <w:tcPr>
            <w:tcW w:w="114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Shares</w:t>
            </w:r>
          </w:p>
        </w:tc>
        <w:tc>
          <w:tcPr>
            <w:tcW w:w="13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Value</w:t>
            </w:r>
          </w:p>
        </w:tc>
        <w:tc>
          <w:tcPr>
            <w:tcW w:w="126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Shares</w:t>
            </w:r>
          </w:p>
        </w:tc>
        <w:tc>
          <w:tcPr>
            <w:tcW w:w="11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w w:val="96"/>
              </w:rPr>
              <w:t>Value</w:t>
            </w:r>
          </w:p>
        </w:tc>
      </w:tr>
      <w:tr>
        <w:trPr>
          <w:trHeight w:val="175"/>
        </w:trPr>
        <w:tc>
          <w:tcPr>
            <w:tcW w:w="5140" w:type="dxa"/>
            <w:vAlign w:val="bottom"/>
            <w:shd w:val="clear" w:color="auto" w:fill="E36F1E"/>
          </w:tcPr>
          <w:p>
            <w:pPr>
              <w:spacing w:after="0"/>
              <w:rPr>
                <w:sz w:val="15"/>
                <w:szCs w:val="15"/>
                <w:color w:val="auto"/>
              </w:rPr>
            </w:pPr>
          </w:p>
        </w:tc>
        <w:tc>
          <w:tcPr>
            <w:tcW w:w="114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Acquired on</w:t>
            </w:r>
          </w:p>
        </w:tc>
        <w:tc>
          <w:tcPr>
            <w:tcW w:w="13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Realized on</w:t>
            </w:r>
          </w:p>
        </w:tc>
        <w:tc>
          <w:tcPr>
            <w:tcW w:w="126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Acquired on</w:t>
            </w:r>
          </w:p>
        </w:tc>
        <w:tc>
          <w:tcPr>
            <w:tcW w:w="11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Realized on</w:t>
            </w:r>
          </w:p>
        </w:tc>
      </w:tr>
      <w:tr>
        <w:trPr>
          <w:trHeight w:val="176"/>
        </w:trPr>
        <w:tc>
          <w:tcPr>
            <w:tcW w:w="5140" w:type="dxa"/>
            <w:vAlign w:val="bottom"/>
            <w:shd w:val="clear" w:color="auto" w:fill="E36F1E"/>
          </w:tcPr>
          <w:p>
            <w:pPr>
              <w:spacing w:after="0"/>
              <w:rPr>
                <w:sz w:val="15"/>
                <w:szCs w:val="15"/>
                <w:color w:val="auto"/>
              </w:rPr>
            </w:pPr>
          </w:p>
        </w:tc>
        <w:tc>
          <w:tcPr>
            <w:tcW w:w="114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rPr>
              <w:t>Exercise</w:t>
            </w:r>
          </w:p>
        </w:tc>
        <w:tc>
          <w:tcPr>
            <w:tcW w:w="13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Exercise</w:t>
            </w:r>
          </w:p>
        </w:tc>
        <w:tc>
          <w:tcPr>
            <w:tcW w:w="126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Vesting</w:t>
            </w:r>
          </w:p>
        </w:tc>
        <w:tc>
          <w:tcPr>
            <w:tcW w:w="11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Vesting</w:t>
            </w:r>
          </w:p>
        </w:tc>
      </w:tr>
      <w:tr>
        <w:trPr>
          <w:trHeight w:val="175"/>
        </w:trPr>
        <w:tc>
          <w:tcPr>
            <w:tcW w:w="514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140" w:type="dxa"/>
            <w:vAlign w:val="bottom"/>
            <w:shd w:val="clear" w:color="auto" w:fill="E36F1E"/>
          </w:tcPr>
          <w:p>
            <w:pPr>
              <w:jc w:val="center"/>
              <w:ind w:left="28"/>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 (1)</w:t>
            </w:r>
          </w:p>
        </w:tc>
        <w:tc>
          <w:tcPr>
            <w:tcW w:w="126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 (2)</w:t>
            </w:r>
          </w:p>
        </w:tc>
      </w:tr>
      <w:tr>
        <w:trPr>
          <w:trHeight w:val="176"/>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99,958</w:t>
            </w:r>
          </w:p>
        </w:tc>
        <w:tc>
          <w:tcPr>
            <w:tcW w:w="1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16,202,192</w:t>
            </w:r>
          </w:p>
        </w:tc>
        <w:tc>
          <w:tcPr>
            <w:tcW w:w="1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26,566</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4,279,017</w:t>
            </w:r>
          </w:p>
        </w:tc>
      </w:tr>
      <w:tr>
        <w:trPr>
          <w:trHeight w:val="176"/>
        </w:trPr>
        <w:tc>
          <w:tcPr>
            <w:tcW w:w="5140" w:type="dxa"/>
            <w:vAlign w:val="bottom"/>
          </w:tcPr>
          <w:p>
            <w:pPr>
              <w:spacing w:after="0"/>
              <w:rPr>
                <w:sz w:val="20"/>
                <w:szCs w:val="20"/>
                <w:color w:val="auto"/>
              </w:rPr>
            </w:pPr>
            <w:r>
              <w:rPr>
                <w:rFonts w:ascii="Arial" w:cs="Arial" w:eastAsia="Arial" w:hAnsi="Arial"/>
                <w:sz w:val="14"/>
                <w:szCs w:val="14"/>
                <w:color w:val="auto"/>
              </w:rPr>
              <w:t>Kate Bueker</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10,862</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1,756,397</w:t>
            </w:r>
          </w:p>
        </w:tc>
      </w:tr>
      <w:tr>
        <w:trPr>
          <w:trHeight w:val="175"/>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3,100</w:t>
            </w:r>
          </w:p>
        </w:tc>
        <w:tc>
          <w:tcPr>
            <w:tcW w:w="1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469,681</w:t>
            </w:r>
          </w:p>
        </w:tc>
        <w:tc>
          <w:tcPr>
            <w:tcW w:w="1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10,406</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1,674,047</w:t>
            </w:r>
          </w:p>
        </w:tc>
      </w:tr>
      <w:tr>
        <w:trPr>
          <w:trHeight w:val="176"/>
        </w:trPr>
        <w:tc>
          <w:tcPr>
            <w:tcW w:w="5140" w:type="dxa"/>
            <w:vAlign w:val="bottom"/>
          </w:tcPr>
          <w:p>
            <w:pPr>
              <w:spacing w:after="0"/>
              <w:rPr>
                <w:sz w:val="20"/>
                <w:szCs w:val="20"/>
                <w:color w:val="auto"/>
              </w:rPr>
            </w:pPr>
            <w:r>
              <w:rPr>
                <w:rFonts w:ascii="Arial" w:cs="Arial" w:eastAsia="Arial" w:hAnsi="Arial"/>
                <w:sz w:val="14"/>
                <w:szCs w:val="14"/>
                <w:color w:val="auto"/>
              </w:rPr>
              <w:t>Hunter Madeley</w:t>
            </w:r>
          </w:p>
        </w:tc>
        <w:tc>
          <w:tcPr>
            <w:tcW w:w="1140" w:type="dxa"/>
            <w:vAlign w:val="bottom"/>
          </w:tcPr>
          <w:p>
            <w:pPr>
              <w:jc w:val="right"/>
              <w:spacing w:after="0"/>
              <w:rPr>
                <w:sz w:val="20"/>
                <w:szCs w:val="20"/>
                <w:color w:val="auto"/>
              </w:rPr>
            </w:pPr>
            <w:r>
              <w:rPr>
                <w:rFonts w:ascii="Arial" w:cs="Arial" w:eastAsia="Arial" w:hAnsi="Arial"/>
                <w:sz w:val="14"/>
                <w:szCs w:val="14"/>
                <w:color w:val="auto"/>
              </w:rPr>
              <w:t>36,533</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5,108,189</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9,563</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1,545,536</w:t>
            </w:r>
          </w:p>
        </w:tc>
      </w:tr>
      <w:tr>
        <w:trPr>
          <w:trHeight w:val="175"/>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Dharmesh Shah</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w:t>
            </w:r>
          </w:p>
        </w:tc>
        <w:tc>
          <w:tcPr>
            <w:tcW w:w="1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77,775</w:t>
            </w:r>
          </w:p>
        </w:tc>
        <w:tc>
          <w:tcPr>
            <w:tcW w:w="1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17,504</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2,820,385</w:t>
            </w:r>
          </w:p>
        </w:tc>
      </w:tr>
      <w:tr>
        <w:trPr>
          <w:trHeight w:val="190"/>
        </w:trPr>
        <w:tc>
          <w:tcPr>
            <w:tcW w:w="5140" w:type="dxa"/>
            <w:vAlign w:val="bottom"/>
          </w:tcPr>
          <w:p>
            <w:pPr>
              <w:spacing w:after="0"/>
              <w:rPr>
                <w:sz w:val="20"/>
                <w:szCs w:val="20"/>
                <w:color w:val="auto"/>
              </w:rPr>
            </w:pPr>
            <w:r>
              <w:rPr>
                <w:rFonts w:ascii="Arial" w:cs="Arial" w:eastAsia="Arial" w:hAnsi="Arial"/>
                <w:sz w:val="14"/>
                <w:szCs w:val="14"/>
                <w:color w:val="auto"/>
              </w:rPr>
              <w:t>JD Sherman</w:t>
            </w:r>
          </w:p>
        </w:tc>
        <w:tc>
          <w:tcPr>
            <w:tcW w:w="1140" w:type="dxa"/>
            <w:vAlign w:val="bottom"/>
          </w:tcPr>
          <w:p>
            <w:pPr>
              <w:jc w:val="right"/>
              <w:spacing w:after="0"/>
              <w:rPr>
                <w:sz w:val="20"/>
                <w:szCs w:val="20"/>
                <w:color w:val="auto"/>
              </w:rPr>
            </w:pPr>
            <w:r>
              <w:rPr>
                <w:rFonts w:ascii="Arial" w:cs="Arial" w:eastAsia="Arial" w:hAnsi="Arial"/>
                <w:sz w:val="14"/>
                <w:szCs w:val="14"/>
                <w:color w:val="auto"/>
              </w:rPr>
              <w:t>90,000</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14,350,684</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21,847</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3,525,695</w:t>
            </w:r>
          </w:p>
        </w:tc>
      </w:tr>
    </w:tbl>
    <w:p>
      <w:pPr>
        <w:spacing w:after="0" w:line="98" w:lineRule="exact"/>
        <w:rPr>
          <w:sz w:val="20"/>
          <w:szCs w:val="20"/>
          <w:color w:val="auto"/>
        </w:rPr>
      </w:pPr>
    </w:p>
    <w:p>
      <w:pPr>
        <w:ind w:left="500" w:right="560" w:hanging="492"/>
        <w:spacing w:after="0" w:line="258"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value realized on exercise is based on the difference between the fair market value of a share of our common stock on the exercise date, less the per share exercise price of the related stock option, multiplied by the number of shares for which the options were exercised.</w:t>
      </w:r>
    </w:p>
    <w:p>
      <w:pPr>
        <w:spacing w:after="0" w:line="85" w:lineRule="exact"/>
        <w:rPr>
          <w:rFonts w:ascii="Arial" w:cs="Arial" w:eastAsia="Arial" w:hAnsi="Arial"/>
          <w:sz w:val="14"/>
          <w:szCs w:val="14"/>
          <w:color w:val="auto"/>
        </w:rPr>
      </w:pPr>
    </w:p>
    <w:p>
      <w:pPr>
        <w:ind w:left="500" w:right="20" w:hanging="492"/>
        <w:spacing w:after="0" w:line="258"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value realized on vesting is based on the closing market price per share of our common stock on the vesting date, which ranged from $125.28 to $197.84 per share, multiplied by the number of shares that vested.</w:t>
      </w:r>
    </w:p>
    <w:p>
      <w:pPr>
        <w:spacing w:after="0" w:line="1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1" w:name="page42"/>
    <w:bookmarkEnd w:id="41"/>
    <w:p>
      <w:pPr>
        <w:ind w:right="1240"/>
        <w:spacing w:after="0" w:line="278" w:lineRule="auto"/>
        <w:rPr>
          <w:sz w:val="20"/>
          <w:szCs w:val="20"/>
          <w:color w:val="auto"/>
        </w:rPr>
      </w:pPr>
      <w:r>
        <w:rPr>
          <w:rFonts w:ascii="Arial" w:cs="Arial" w:eastAsia="Arial" w:hAnsi="Arial"/>
          <w:sz w:val="29"/>
          <w:szCs w:val="29"/>
          <w:b w:val="1"/>
          <w:bCs w:val="1"/>
          <w:color w:val="E36C0A"/>
        </w:rPr>
        <w:t>ADDITIONAL INFORMATION RELATING TO EXECUTIVE COMPENSATION PROGRAM</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All current outstanding equity awards granted to our named executive officers under our 2014 Stock Option and Incentive Plan and our 2007 Equity Incentive Plan include a “double-trigger” vesting acceleration provision in the event of a change of control of the company. Pursuant to the forms of stock option agreement, restricted stock agreement and RSU agreement, in the case of a “sale event” (as defined in our 2014 Stock Option and Incentive Plan) or in the case of a “change of control” (as defined in our 2007 Equity Incentive Plan), in each case in which outstanding awards are assumed, substituted or otherwise continued by a successor entity, and the award holder’s employment or service relationship with us terminates, such holder’s awards will vest in full as of the date of termination if such termination occurs (i) within 12 months after such sale event or change of control or 90 days prior to such event and (ii) such termination is by us without “cause” (as defined in the applicable award agreement) or by such holder for “good reason” (as defined in the applicable award agreement). There are no other payments or benefits provided to our named executive officers in the event of a termination of employment or change in control of the Company.</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shows the potential payments and benefits to be received by each of our named executive officers in the event that his or her employment was terminated by us without cause or by the named executive officer for good reason within 12 months following, or 90 days prior to, such sale event or change of control of the Company. Mr. Madeley is not shown in the table because he was not employed by the Company at December 31, 2019. Mr. Madeley did not receive any severance payments or other benefits in connection with his departure from the Company on July 2, 2019. Furthermore, no changes were made to Mr. Madeley’s outstanding and unvested equity awards. The amounts in the table below have been calculated based on the assumption that the sale event/change of control and employment termination took place on December 31, 2019.</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640" w:type="dxa"/>
            <w:vAlign w:val="bottom"/>
            <w:shd w:val="clear" w:color="auto" w:fill="E36F1E"/>
          </w:tcPr>
          <w:p>
            <w:pPr>
              <w:spacing w:after="0"/>
              <w:rPr>
                <w:sz w:val="14"/>
                <w:szCs w:val="14"/>
                <w:color w:val="auto"/>
              </w:rPr>
            </w:pPr>
          </w:p>
        </w:tc>
        <w:tc>
          <w:tcPr>
            <w:tcW w:w="5220" w:type="dxa"/>
            <w:vAlign w:val="bottom"/>
            <w:shd w:val="clear" w:color="auto" w:fill="E36F1E"/>
          </w:tcPr>
          <w:p>
            <w:pPr>
              <w:jc w:val="center"/>
              <w:ind w:left="428"/>
              <w:spacing w:after="0"/>
              <w:rPr>
                <w:sz w:val="20"/>
                <w:szCs w:val="20"/>
                <w:color w:val="auto"/>
              </w:rPr>
            </w:pPr>
            <w:r>
              <w:rPr>
                <w:rFonts w:ascii="Arial" w:cs="Arial" w:eastAsia="Arial" w:hAnsi="Arial"/>
                <w:sz w:val="14"/>
                <w:szCs w:val="14"/>
                <w:b w:val="1"/>
                <w:bCs w:val="1"/>
                <w:color w:val="FFFFFF"/>
              </w:rPr>
              <w:t>Equity Acceleration Benefits Payable Upon Termination</w:t>
            </w:r>
          </w:p>
        </w:tc>
      </w:tr>
      <w:tr>
        <w:trPr>
          <w:trHeight w:val="162"/>
        </w:trPr>
        <w:tc>
          <w:tcPr>
            <w:tcW w:w="2640" w:type="dxa"/>
            <w:vAlign w:val="bottom"/>
            <w:shd w:val="clear" w:color="auto" w:fill="E36F1E"/>
          </w:tcPr>
          <w:p>
            <w:pPr>
              <w:spacing w:after="0"/>
              <w:rPr>
                <w:sz w:val="14"/>
                <w:szCs w:val="14"/>
                <w:color w:val="auto"/>
              </w:rPr>
            </w:pPr>
          </w:p>
        </w:tc>
        <w:tc>
          <w:tcPr>
            <w:tcW w:w="5220" w:type="dxa"/>
            <w:vAlign w:val="bottom"/>
            <w:shd w:val="clear" w:color="auto" w:fill="E36F1E"/>
          </w:tcPr>
          <w:p>
            <w:pPr>
              <w:jc w:val="center"/>
              <w:ind w:left="428"/>
              <w:spacing w:after="0"/>
              <w:rPr>
                <w:sz w:val="20"/>
                <w:szCs w:val="20"/>
                <w:color w:val="auto"/>
              </w:rPr>
            </w:pPr>
            <w:r>
              <w:rPr>
                <w:rFonts w:ascii="Arial" w:cs="Arial" w:eastAsia="Arial" w:hAnsi="Arial"/>
                <w:sz w:val="14"/>
                <w:szCs w:val="14"/>
                <w:b w:val="1"/>
                <w:bCs w:val="1"/>
                <w:color w:val="FFFFFF"/>
              </w:rPr>
              <w:t>Without Cause/for Good Reason in connection with</w:t>
            </w:r>
          </w:p>
        </w:tc>
      </w:tr>
      <w:tr>
        <w:trPr>
          <w:trHeight w:val="175"/>
        </w:trPr>
        <w:tc>
          <w:tcPr>
            <w:tcW w:w="264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5220" w:type="dxa"/>
            <w:vAlign w:val="bottom"/>
            <w:shd w:val="clear" w:color="auto" w:fill="E36F1E"/>
          </w:tcPr>
          <w:p>
            <w:pPr>
              <w:jc w:val="center"/>
              <w:ind w:left="428"/>
              <w:spacing w:after="0"/>
              <w:rPr>
                <w:sz w:val="20"/>
                <w:szCs w:val="20"/>
                <w:color w:val="auto"/>
              </w:rPr>
            </w:pPr>
            <w:r>
              <w:rPr>
                <w:rFonts w:ascii="Arial" w:cs="Arial" w:eastAsia="Arial" w:hAnsi="Arial"/>
                <w:sz w:val="14"/>
                <w:szCs w:val="14"/>
                <w:b w:val="1"/>
                <w:bCs w:val="1"/>
                <w:color w:val="FFFFFF"/>
              </w:rPr>
              <w:t>Change in Control ($) (1)</w:t>
            </w:r>
          </w:p>
        </w:tc>
      </w:tr>
      <w:tr>
        <w:trPr>
          <w:trHeight w:val="175"/>
        </w:trPr>
        <w:tc>
          <w:tcPr>
            <w:tcW w:w="264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5220" w:type="dxa"/>
            <w:vAlign w:val="bottom"/>
            <w:shd w:val="clear" w:color="auto" w:fill="CFF0FC"/>
          </w:tcPr>
          <w:p>
            <w:pPr>
              <w:jc w:val="right"/>
              <w:ind w:right="1928"/>
              <w:spacing w:after="0"/>
              <w:rPr>
                <w:sz w:val="20"/>
                <w:szCs w:val="20"/>
                <w:color w:val="auto"/>
              </w:rPr>
            </w:pPr>
            <w:r>
              <w:rPr>
                <w:rFonts w:ascii="Arial" w:cs="Arial" w:eastAsia="Arial" w:hAnsi="Arial"/>
                <w:sz w:val="14"/>
                <w:szCs w:val="14"/>
                <w:color w:val="auto"/>
              </w:rPr>
              <w:t>7,801,659</w:t>
            </w:r>
          </w:p>
        </w:tc>
      </w:tr>
      <w:tr>
        <w:trPr>
          <w:trHeight w:val="176"/>
        </w:trPr>
        <w:tc>
          <w:tcPr>
            <w:tcW w:w="2640" w:type="dxa"/>
            <w:vAlign w:val="bottom"/>
          </w:tcPr>
          <w:p>
            <w:pPr>
              <w:spacing w:after="0"/>
              <w:rPr>
                <w:sz w:val="20"/>
                <w:szCs w:val="20"/>
                <w:color w:val="auto"/>
              </w:rPr>
            </w:pPr>
            <w:r>
              <w:rPr>
                <w:rFonts w:ascii="Arial" w:cs="Arial" w:eastAsia="Arial" w:hAnsi="Arial"/>
                <w:sz w:val="14"/>
                <w:szCs w:val="14"/>
                <w:color w:val="auto"/>
              </w:rPr>
              <w:t>Kate Bueker</w:t>
            </w:r>
          </w:p>
        </w:tc>
        <w:tc>
          <w:tcPr>
            <w:tcW w:w="5220" w:type="dxa"/>
            <w:vAlign w:val="bottom"/>
          </w:tcPr>
          <w:p>
            <w:pPr>
              <w:jc w:val="right"/>
              <w:ind w:right="1928"/>
              <w:spacing w:after="0"/>
              <w:rPr>
                <w:sz w:val="20"/>
                <w:szCs w:val="20"/>
                <w:color w:val="auto"/>
              </w:rPr>
            </w:pPr>
            <w:r>
              <w:rPr>
                <w:rFonts w:ascii="Arial" w:cs="Arial" w:eastAsia="Arial" w:hAnsi="Arial"/>
                <w:sz w:val="14"/>
                <w:szCs w:val="14"/>
                <w:color w:val="auto"/>
              </w:rPr>
              <w:t>5,170,601</w:t>
            </w:r>
          </w:p>
        </w:tc>
      </w:tr>
      <w:tr>
        <w:trPr>
          <w:trHeight w:val="175"/>
        </w:trPr>
        <w:tc>
          <w:tcPr>
            <w:tcW w:w="2640" w:type="dxa"/>
            <w:vAlign w:val="bottom"/>
            <w:shd w:val="clear" w:color="auto" w:fill="CFF0FC"/>
          </w:tcPr>
          <w:p>
            <w:pPr>
              <w:spacing w:after="0"/>
              <w:rPr>
                <w:sz w:val="20"/>
                <w:szCs w:val="20"/>
                <w:color w:val="auto"/>
              </w:rPr>
            </w:pPr>
            <w:r>
              <w:rPr>
                <w:rFonts w:ascii="Arial" w:cs="Arial" w:eastAsia="Arial" w:hAnsi="Arial"/>
                <w:sz w:val="14"/>
                <w:szCs w:val="14"/>
                <w:color w:val="auto"/>
              </w:rPr>
              <w:t>John Kelleher</w:t>
            </w:r>
          </w:p>
        </w:tc>
        <w:tc>
          <w:tcPr>
            <w:tcW w:w="5220" w:type="dxa"/>
            <w:vAlign w:val="bottom"/>
            <w:shd w:val="clear" w:color="auto" w:fill="CFF0FC"/>
          </w:tcPr>
          <w:p>
            <w:pPr>
              <w:jc w:val="right"/>
              <w:ind w:right="1928"/>
              <w:spacing w:after="0"/>
              <w:rPr>
                <w:sz w:val="20"/>
                <w:szCs w:val="20"/>
                <w:color w:val="auto"/>
              </w:rPr>
            </w:pPr>
            <w:r>
              <w:rPr>
                <w:rFonts w:ascii="Arial" w:cs="Arial" w:eastAsia="Arial" w:hAnsi="Arial"/>
                <w:sz w:val="14"/>
                <w:szCs w:val="14"/>
                <w:color w:val="auto"/>
              </w:rPr>
              <w:t>2,691,968</w:t>
            </w:r>
          </w:p>
        </w:tc>
      </w:tr>
      <w:tr>
        <w:trPr>
          <w:trHeight w:val="176"/>
        </w:trPr>
        <w:tc>
          <w:tcPr>
            <w:tcW w:w="2640" w:type="dxa"/>
            <w:vAlign w:val="bottom"/>
          </w:tcPr>
          <w:p>
            <w:pPr>
              <w:spacing w:after="0"/>
              <w:rPr>
                <w:sz w:val="20"/>
                <w:szCs w:val="20"/>
                <w:color w:val="auto"/>
              </w:rPr>
            </w:pPr>
            <w:r>
              <w:rPr>
                <w:rFonts w:ascii="Arial" w:cs="Arial" w:eastAsia="Arial" w:hAnsi="Arial"/>
                <w:sz w:val="14"/>
                <w:szCs w:val="14"/>
                <w:color w:val="auto"/>
              </w:rPr>
              <w:t>Dharmesh Shah</w:t>
            </w:r>
          </w:p>
        </w:tc>
        <w:tc>
          <w:tcPr>
            <w:tcW w:w="5220" w:type="dxa"/>
            <w:vAlign w:val="bottom"/>
          </w:tcPr>
          <w:p>
            <w:pPr>
              <w:jc w:val="right"/>
              <w:ind w:right="1928"/>
              <w:spacing w:after="0"/>
              <w:rPr>
                <w:sz w:val="20"/>
                <w:szCs w:val="20"/>
                <w:color w:val="auto"/>
              </w:rPr>
            </w:pPr>
            <w:r>
              <w:rPr>
                <w:rFonts w:ascii="Arial" w:cs="Arial" w:eastAsia="Arial" w:hAnsi="Arial"/>
                <w:sz w:val="14"/>
                <w:szCs w:val="14"/>
                <w:color w:val="auto"/>
              </w:rPr>
              <w:t>4,394,275</w:t>
            </w:r>
          </w:p>
        </w:tc>
      </w:tr>
      <w:tr>
        <w:trPr>
          <w:trHeight w:val="175"/>
        </w:trPr>
        <w:tc>
          <w:tcPr>
            <w:tcW w:w="2640" w:type="dxa"/>
            <w:vAlign w:val="bottom"/>
            <w:shd w:val="clear" w:color="auto" w:fill="CFF0FC"/>
          </w:tcPr>
          <w:p>
            <w:pPr>
              <w:spacing w:after="0"/>
              <w:rPr>
                <w:sz w:val="20"/>
                <w:szCs w:val="20"/>
                <w:color w:val="auto"/>
              </w:rPr>
            </w:pPr>
            <w:r>
              <w:rPr>
                <w:rFonts w:ascii="Arial" w:cs="Arial" w:eastAsia="Arial" w:hAnsi="Arial"/>
                <w:sz w:val="14"/>
                <w:szCs w:val="14"/>
                <w:color w:val="auto"/>
              </w:rPr>
              <w:t>JD Sherman</w:t>
            </w:r>
          </w:p>
        </w:tc>
        <w:tc>
          <w:tcPr>
            <w:tcW w:w="5220" w:type="dxa"/>
            <w:vAlign w:val="bottom"/>
            <w:shd w:val="clear" w:color="auto" w:fill="CFF0FC"/>
          </w:tcPr>
          <w:p>
            <w:pPr>
              <w:jc w:val="right"/>
              <w:ind w:right="1928"/>
              <w:spacing w:after="0"/>
              <w:rPr>
                <w:sz w:val="20"/>
                <w:szCs w:val="20"/>
                <w:color w:val="auto"/>
              </w:rPr>
            </w:pPr>
            <w:r>
              <w:rPr>
                <w:rFonts w:ascii="Arial" w:cs="Arial" w:eastAsia="Arial" w:hAnsi="Arial"/>
                <w:sz w:val="14"/>
                <w:szCs w:val="14"/>
                <w:color w:val="auto"/>
              </w:rPr>
              <w:t>5,665,216</w:t>
            </w:r>
          </w:p>
        </w:tc>
      </w:tr>
    </w:tbl>
    <w:p>
      <w:pPr>
        <w:spacing w:after="0" w:line="113" w:lineRule="exact"/>
        <w:rPr>
          <w:sz w:val="20"/>
          <w:szCs w:val="20"/>
          <w:color w:val="auto"/>
        </w:rPr>
      </w:pPr>
    </w:p>
    <w:p>
      <w:pPr>
        <w:ind w:left="500" w:right="80" w:hanging="492"/>
        <w:spacing w:after="0" w:line="258"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Consists of the vesting of outstanding equity awards that would accelerate pursuant to the “double-trigger” change in control provisions included in the applicable award agreements. Amounts in this column are calculated based on $158.50 per share, the closing market price of our common stock on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compensation and benefits philosophy and the overall structure of our compensation and benefit programs are broadly similar across the organization to encourage and reward all employees who contribute to our success. We strive to ensure the pay of each of our employees reflects the level of their job impact and responsibilities and is competitive within our peer group. As of December 31, 2019, we employed 3,387 full-time employees and strive to maintain a diverse and engaged workforce.</w:t>
      </w:r>
    </w:p>
    <w:p>
      <w:pPr>
        <w:spacing w:after="0" w:line="2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Under Item 402(u) of Regulation S-K under the Securities Exchange Act of 1934, as amended, we are required to disclose the annual total compensation paid to our median paid employee, the annual total compensation paid to our CEO, and the ratio of the annual total compensation paid to the median employee as compared to the annual total compensation paid to our CEO. The paragraphs that follow set forth our CEO pay ratio and describe the methodology we used to determine such pay ratio.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2019:</w:t>
      </w:r>
    </w:p>
    <w:p>
      <w:pPr>
        <w:spacing w:after="0" w:line="104" w:lineRule="exact"/>
        <w:rPr>
          <w:sz w:val="20"/>
          <w:szCs w:val="20"/>
          <w:color w:val="auto"/>
        </w:rPr>
      </w:pPr>
    </w:p>
    <w:p>
      <w:pPr>
        <w:ind w:left="1000" w:right="220" w:hanging="493"/>
        <w:spacing w:after="0" w:line="246" w:lineRule="auto"/>
        <w:tabs>
          <w:tab w:leader="none" w:pos="1000" w:val="left"/>
        </w:tabs>
        <w:numPr>
          <w:ilvl w:val="0"/>
          <w:numId w:val="35"/>
        </w:numPr>
        <w:rPr>
          <w:rFonts w:ascii="Arial" w:cs="Arial" w:eastAsia="Arial" w:hAnsi="Arial"/>
          <w:sz w:val="18"/>
          <w:szCs w:val="18"/>
          <w:color w:val="E36F1E"/>
        </w:rPr>
      </w:pPr>
      <w:r>
        <w:rPr>
          <w:rFonts w:ascii="Arial" w:cs="Arial" w:eastAsia="Arial" w:hAnsi="Arial"/>
          <w:sz w:val="18"/>
          <w:szCs w:val="18"/>
          <w:color w:val="auto"/>
        </w:rPr>
        <w:t>the annual total compensation of the employee identified at the median of all employees of our company (other than our CEO) was $115,000; and</w:t>
      </w:r>
    </w:p>
    <w:p>
      <w:pPr>
        <w:spacing w:after="0" w:line="88" w:lineRule="exact"/>
        <w:rPr>
          <w:rFonts w:ascii="Arial" w:cs="Arial" w:eastAsia="Arial" w:hAnsi="Arial"/>
          <w:sz w:val="18"/>
          <w:szCs w:val="18"/>
          <w:color w:val="E36F1E"/>
        </w:rPr>
      </w:pPr>
    </w:p>
    <w:p>
      <w:pPr>
        <w:ind w:left="1000" w:right="1160" w:hanging="493"/>
        <w:spacing w:after="0" w:line="246" w:lineRule="auto"/>
        <w:tabs>
          <w:tab w:leader="none" w:pos="1000" w:val="left"/>
        </w:tabs>
        <w:numPr>
          <w:ilvl w:val="0"/>
          <w:numId w:val="35"/>
        </w:numPr>
        <w:rPr>
          <w:rFonts w:ascii="Arial" w:cs="Arial" w:eastAsia="Arial" w:hAnsi="Arial"/>
          <w:sz w:val="18"/>
          <w:szCs w:val="18"/>
          <w:color w:val="E36F1E"/>
        </w:rPr>
      </w:pPr>
      <w:r>
        <w:rPr>
          <w:rFonts w:ascii="Arial" w:cs="Arial" w:eastAsia="Arial" w:hAnsi="Arial"/>
          <w:sz w:val="18"/>
          <w:szCs w:val="18"/>
          <w:color w:val="auto"/>
        </w:rPr>
        <w:t>the annual total compensation of Mr. Brian Halligan, our Chief Executive Officer, as reported in the 2019 Summary Compensation Table was $4,153,970.</w:t>
      </w:r>
    </w:p>
    <w:p>
      <w:pPr>
        <w:spacing w:after="0" w:line="17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2" w:name="page43"/>
    <w:bookmarkEnd w:id="42"/>
    <w:p>
      <w:pPr>
        <w:ind w:right="140"/>
        <w:spacing w:after="0" w:line="246" w:lineRule="auto"/>
        <w:rPr>
          <w:sz w:val="20"/>
          <w:szCs w:val="20"/>
          <w:color w:val="auto"/>
        </w:rPr>
      </w:pPr>
      <w:r>
        <w:rPr>
          <w:rFonts w:ascii="Arial" w:cs="Arial" w:eastAsia="Arial" w:hAnsi="Arial"/>
          <w:sz w:val="18"/>
          <w:szCs w:val="18"/>
          <w:color w:val="auto"/>
        </w:rPr>
        <w:t>Based on this information, for 2019 the ratio of the annual total compensation of our CEO to the median of the annual total compensation of all employees was 36 to 1. This ratio is a reasonable estimate calculated in a manner consistent with Item 402(u) of Regulation S-K.</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2019, the median employee that we had previously identified for purposes of our 2017 and 2018 pay ratio calculations received a promotion and an increase in their compensation arrangements, which we believe would significantly impact the 2019 pay ratio. Accordingly, for purposes of calculating the 2019 pay ratio, we identified a new median employee. To identify our median employee for 2019, we used the following methodology. We selected a compensation measure comprised of the following elements, which we believe reasonably reflects the annual compensation of our employees:</w:t>
      </w:r>
    </w:p>
    <w:p>
      <w:pPr>
        <w:spacing w:after="0" w:line="94" w:lineRule="exact"/>
        <w:rPr>
          <w:sz w:val="20"/>
          <w:szCs w:val="20"/>
          <w:color w:val="auto"/>
        </w:rPr>
      </w:pPr>
    </w:p>
    <w:p>
      <w:pPr>
        <w:ind w:left="1000" w:right="100" w:hanging="493"/>
        <w:spacing w:after="0"/>
        <w:tabs>
          <w:tab w:leader="none" w:pos="1000" w:val="left"/>
        </w:tabs>
        <w:numPr>
          <w:ilvl w:val="0"/>
          <w:numId w:val="36"/>
        </w:numPr>
        <w:rPr>
          <w:rFonts w:ascii="Arial" w:cs="Arial" w:eastAsia="Arial" w:hAnsi="Arial"/>
          <w:sz w:val="18"/>
          <w:szCs w:val="18"/>
          <w:color w:val="E36F1E"/>
        </w:rPr>
      </w:pPr>
      <w:r>
        <w:rPr>
          <w:rFonts w:ascii="Arial" w:cs="Arial" w:eastAsia="Arial" w:hAnsi="Arial"/>
          <w:sz w:val="18"/>
          <w:szCs w:val="18"/>
          <w:color w:val="auto"/>
        </w:rPr>
        <w:t>base salary, which we calculated as annual base salary using a reasonable estimate of the hours worked during 2019 for hourly employees and annual salary levels for our remaining employees, and annualizing the compensation for any newly hired permanent employees during 2019;</w:t>
      </w:r>
    </w:p>
    <w:p>
      <w:pPr>
        <w:spacing w:after="0" w:line="94" w:lineRule="exact"/>
        <w:rPr>
          <w:rFonts w:ascii="Arial" w:cs="Arial" w:eastAsia="Arial" w:hAnsi="Arial"/>
          <w:sz w:val="18"/>
          <w:szCs w:val="18"/>
          <w:color w:val="E36F1E"/>
        </w:rPr>
      </w:pPr>
    </w:p>
    <w:p>
      <w:pPr>
        <w:ind w:left="1000" w:hanging="493"/>
        <w:spacing w:after="0"/>
        <w:tabs>
          <w:tab w:leader="none" w:pos="1000" w:val="left"/>
        </w:tabs>
        <w:numPr>
          <w:ilvl w:val="0"/>
          <w:numId w:val="36"/>
        </w:numPr>
        <w:rPr>
          <w:rFonts w:ascii="Arial" w:cs="Arial" w:eastAsia="Arial" w:hAnsi="Arial"/>
          <w:sz w:val="18"/>
          <w:szCs w:val="18"/>
          <w:color w:val="E36F1E"/>
        </w:rPr>
      </w:pPr>
      <w:r>
        <w:rPr>
          <w:rFonts w:ascii="Arial" w:cs="Arial" w:eastAsia="Arial" w:hAnsi="Arial"/>
          <w:sz w:val="18"/>
          <w:szCs w:val="18"/>
          <w:color w:val="auto"/>
        </w:rPr>
        <w:t>bonus target, which we calculated for eligible employees based upon a percentage of their base salary; and</w:t>
      </w:r>
    </w:p>
    <w:p>
      <w:pPr>
        <w:spacing w:after="0" w:line="117" w:lineRule="exact"/>
        <w:rPr>
          <w:rFonts w:ascii="Arial" w:cs="Arial" w:eastAsia="Arial" w:hAnsi="Arial"/>
          <w:sz w:val="18"/>
          <w:szCs w:val="18"/>
          <w:color w:val="E36F1E"/>
        </w:rPr>
      </w:pPr>
    </w:p>
    <w:p>
      <w:pPr>
        <w:ind w:left="1000" w:right="20" w:hanging="493"/>
        <w:spacing w:after="0" w:line="246" w:lineRule="auto"/>
        <w:tabs>
          <w:tab w:leader="none" w:pos="1000" w:val="left"/>
        </w:tabs>
        <w:numPr>
          <w:ilvl w:val="0"/>
          <w:numId w:val="36"/>
        </w:numPr>
        <w:rPr>
          <w:rFonts w:ascii="Arial" w:cs="Arial" w:eastAsia="Arial" w:hAnsi="Arial"/>
          <w:sz w:val="18"/>
          <w:szCs w:val="18"/>
          <w:color w:val="E36F1E"/>
        </w:rPr>
      </w:pPr>
      <w:r>
        <w:rPr>
          <w:rFonts w:ascii="Arial" w:cs="Arial" w:eastAsia="Arial" w:hAnsi="Arial"/>
          <w:sz w:val="18"/>
          <w:szCs w:val="18"/>
          <w:color w:val="auto"/>
        </w:rPr>
        <w:t xml:space="preserve">the grant date “fair value” of equity awarded to eligible employees in 2019, which we calculated pursuant to Financial Accounting Standard Board, Accounting Standards Codification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calculated the sum of these compensation elements for our employees as of December 31, 2019 for the 12-month period from January 1, 2019 through December 31, 2019. Using this approach, we identified the individual at the median of our employee population, who is a full-time, salaried software engineer based in the United States, and determined that the employee’s annual total compensation for 2019 was $115,000 (excluding any estimated retirement and health benefits) in accordance with the requirements of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equity compensation plans as of December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Number of</w:t>
            </w:r>
          </w:p>
        </w:tc>
        <w:tc>
          <w:tcPr>
            <w:tcW w:w="1600" w:type="dxa"/>
            <w:vAlign w:val="bottom"/>
            <w:shd w:val="clear" w:color="auto" w:fill="E36F1E"/>
          </w:tcPr>
          <w:p>
            <w:pPr>
              <w:spacing w:after="0"/>
              <w:rPr>
                <w:sz w:val="14"/>
                <w:szCs w:val="14"/>
                <w:color w:val="auto"/>
              </w:rPr>
            </w:pPr>
          </w:p>
        </w:tc>
        <w:tc>
          <w:tcPr>
            <w:tcW w:w="1680" w:type="dxa"/>
            <w:vAlign w:val="bottom"/>
            <w:gridSpan w:val="2"/>
            <w:shd w:val="clear" w:color="auto" w:fill="E36F1E"/>
          </w:tcPr>
          <w:p>
            <w:pPr>
              <w:jc w:val="center"/>
              <w:ind w:right="400"/>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40"/>
              <w:spacing w:after="0"/>
              <w:rPr>
                <w:sz w:val="20"/>
                <w:szCs w:val="20"/>
                <w:color w:val="auto"/>
              </w:rPr>
            </w:pPr>
            <w:r>
              <w:rPr>
                <w:rFonts w:ascii="Arial" w:cs="Arial" w:eastAsia="Arial" w:hAnsi="Arial"/>
                <w:sz w:val="14"/>
                <w:szCs w:val="14"/>
                <w:b w:val="1"/>
                <w:bCs w:val="1"/>
                <w:color w:val="FFFFFF"/>
              </w:rPr>
              <w:t>Securities</w:t>
            </w:r>
          </w:p>
        </w:tc>
        <w:tc>
          <w:tcPr>
            <w:tcW w:w="1600" w:type="dxa"/>
            <w:vAlign w:val="bottom"/>
            <w:shd w:val="clear" w:color="auto" w:fill="E36F1E"/>
          </w:tcPr>
          <w:p>
            <w:pPr>
              <w:spacing w:after="0"/>
              <w:rPr>
                <w:sz w:val="14"/>
                <w:szCs w:val="14"/>
                <w:color w:val="auto"/>
              </w:rPr>
            </w:pPr>
          </w:p>
        </w:tc>
        <w:tc>
          <w:tcPr>
            <w:tcW w:w="1680" w:type="dxa"/>
            <w:vAlign w:val="bottom"/>
            <w:gridSpan w:val="2"/>
            <w:shd w:val="clear" w:color="auto" w:fill="E36F1E"/>
          </w:tcPr>
          <w:p>
            <w:pPr>
              <w:jc w:val="center"/>
              <w:ind w:right="400"/>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to be Issued</w:t>
            </w:r>
          </w:p>
        </w:tc>
        <w:tc>
          <w:tcPr>
            <w:tcW w:w="1600" w:type="dxa"/>
            <w:vAlign w:val="bottom"/>
            <w:shd w:val="clear" w:color="auto" w:fill="E36F1E"/>
          </w:tcPr>
          <w:p>
            <w:pPr>
              <w:spacing w:after="0"/>
              <w:rPr>
                <w:sz w:val="14"/>
                <w:szCs w:val="14"/>
                <w:color w:val="auto"/>
              </w:rPr>
            </w:pPr>
          </w:p>
        </w:tc>
        <w:tc>
          <w:tcPr>
            <w:tcW w:w="168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40"/>
              <w:spacing w:after="0"/>
              <w:rPr>
                <w:sz w:val="20"/>
                <w:szCs w:val="20"/>
                <w:color w:val="auto"/>
              </w:rPr>
            </w:pPr>
            <w:r>
              <w:rPr>
                <w:rFonts w:ascii="Arial" w:cs="Arial" w:eastAsia="Arial" w:hAnsi="Arial"/>
                <w:sz w:val="14"/>
                <w:szCs w:val="14"/>
                <w:b w:val="1"/>
                <w:bCs w:val="1"/>
                <w:color w:val="FFFFFF"/>
              </w:rPr>
              <w:t>Upon</w:t>
            </w:r>
          </w:p>
        </w:tc>
        <w:tc>
          <w:tcPr>
            <w:tcW w:w="1600" w:type="dxa"/>
            <w:vAlign w:val="bottom"/>
            <w:shd w:val="clear" w:color="auto" w:fill="E36F1E"/>
          </w:tcPr>
          <w:p>
            <w:pPr>
              <w:spacing w:after="0"/>
              <w:rPr>
                <w:sz w:val="14"/>
                <w:szCs w:val="14"/>
                <w:color w:val="auto"/>
              </w:rPr>
            </w:pPr>
          </w:p>
        </w:tc>
        <w:tc>
          <w:tcPr>
            <w:tcW w:w="168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Available</w:t>
            </w:r>
          </w:p>
        </w:tc>
      </w:t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40"/>
              <w:spacing w:after="0"/>
              <w:rPr>
                <w:sz w:val="20"/>
                <w:szCs w:val="20"/>
                <w:color w:val="auto"/>
              </w:rPr>
            </w:pPr>
            <w:r>
              <w:rPr>
                <w:rFonts w:ascii="Arial" w:cs="Arial" w:eastAsia="Arial" w:hAnsi="Arial"/>
                <w:sz w:val="14"/>
                <w:szCs w:val="14"/>
                <w:b w:val="1"/>
                <w:bCs w:val="1"/>
                <w:color w:val="FFFFFF"/>
              </w:rPr>
              <w:t>Exercise of</w:t>
            </w:r>
          </w:p>
        </w:tc>
        <w:tc>
          <w:tcPr>
            <w:tcW w:w="160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Weighted-</w:t>
            </w:r>
          </w:p>
        </w:tc>
        <w:tc>
          <w:tcPr>
            <w:tcW w:w="1680" w:type="dxa"/>
            <w:vAlign w:val="bottom"/>
            <w:gridSpan w:val="2"/>
            <w:shd w:val="clear" w:color="auto" w:fill="E36F1E"/>
          </w:tcPr>
          <w:p>
            <w:pPr>
              <w:jc w:val="center"/>
              <w:ind w:right="400"/>
              <w:spacing w:after="0"/>
              <w:rPr>
                <w:sz w:val="20"/>
                <w:szCs w:val="20"/>
                <w:color w:val="auto"/>
              </w:rPr>
            </w:pPr>
            <w:r>
              <w:rPr>
                <w:rFonts w:ascii="Arial" w:cs="Arial" w:eastAsia="Arial" w:hAnsi="Arial"/>
                <w:sz w:val="14"/>
                <w:szCs w:val="14"/>
                <w:b w:val="1"/>
                <w:bCs w:val="1"/>
                <w:color w:val="FFFFFF"/>
              </w:rPr>
              <w:t>for Future</w:t>
            </w:r>
          </w:p>
        </w:tc>
      </w:t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40"/>
              <w:spacing w:after="0"/>
              <w:rPr>
                <w:sz w:val="20"/>
                <w:szCs w:val="20"/>
                <w:color w:val="auto"/>
              </w:rPr>
            </w:pPr>
            <w:r>
              <w:rPr>
                <w:rFonts w:ascii="Arial" w:cs="Arial" w:eastAsia="Arial" w:hAnsi="Arial"/>
                <w:sz w:val="14"/>
                <w:szCs w:val="14"/>
                <w:b w:val="1"/>
                <w:bCs w:val="1"/>
                <w:color w:val="FFFFFF"/>
              </w:rPr>
              <w:t>Outstanding</w:t>
            </w:r>
          </w:p>
        </w:tc>
        <w:tc>
          <w:tcPr>
            <w:tcW w:w="160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average</w:t>
            </w:r>
          </w:p>
        </w:tc>
        <w:tc>
          <w:tcPr>
            <w:tcW w:w="168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Issuance</w:t>
            </w:r>
          </w:p>
        </w:tc>
      </w:t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40"/>
              <w:spacing w:after="0"/>
              <w:rPr>
                <w:sz w:val="20"/>
                <w:szCs w:val="20"/>
                <w:color w:val="auto"/>
              </w:rPr>
            </w:pPr>
            <w:r>
              <w:rPr>
                <w:rFonts w:ascii="Arial" w:cs="Arial" w:eastAsia="Arial" w:hAnsi="Arial"/>
                <w:sz w:val="14"/>
                <w:szCs w:val="14"/>
                <w:b w:val="1"/>
                <w:bCs w:val="1"/>
                <w:color w:val="FFFFFF"/>
              </w:rPr>
              <w:t>Options,</w:t>
            </w:r>
          </w:p>
        </w:tc>
        <w:tc>
          <w:tcPr>
            <w:tcW w:w="160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Exercise Price of</w:t>
            </w:r>
          </w:p>
        </w:tc>
        <w:tc>
          <w:tcPr>
            <w:tcW w:w="168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6300" w:type="dxa"/>
            <w:vAlign w:val="bottom"/>
            <w:shd w:val="clear" w:color="auto" w:fill="E36F1E"/>
          </w:tcPr>
          <w:p>
            <w:pPr>
              <w:spacing w:after="0"/>
              <w:rPr>
                <w:sz w:val="14"/>
                <w:szCs w:val="14"/>
                <w:color w:val="auto"/>
              </w:rPr>
            </w:pPr>
          </w:p>
        </w:tc>
        <w:tc>
          <w:tcPr>
            <w:tcW w:w="1660" w:type="dxa"/>
            <w:vAlign w:val="bottom"/>
            <w:gridSpan w:val="2"/>
            <w:shd w:val="clear" w:color="auto" w:fill="E36F1E"/>
          </w:tcPr>
          <w:p>
            <w:pPr>
              <w:jc w:val="center"/>
              <w:ind w:right="440"/>
              <w:spacing w:after="0"/>
              <w:rPr>
                <w:sz w:val="20"/>
                <w:szCs w:val="20"/>
                <w:color w:val="auto"/>
              </w:rPr>
            </w:pPr>
            <w:r>
              <w:rPr>
                <w:rFonts w:ascii="Arial" w:cs="Arial" w:eastAsia="Arial" w:hAnsi="Arial"/>
                <w:sz w:val="14"/>
                <w:szCs w:val="14"/>
                <w:b w:val="1"/>
                <w:bCs w:val="1"/>
                <w:color w:val="FFFFFF"/>
              </w:rPr>
              <w:t>Warrants,</w:t>
            </w:r>
          </w:p>
        </w:tc>
        <w:tc>
          <w:tcPr>
            <w:tcW w:w="160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Outstanding</w:t>
            </w:r>
          </w:p>
        </w:tc>
        <w:tc>
          <w:tcPr>
            <w:tcW w:w="1680" w:type="dxa"/>
            <w:vAlign w:val="bottom"/>
            <w:gridSpan w:val="2"/>
            <w:shd w:val="clear" w:color="auto" w:fill="E36F1E"/>
          </w:tcPr>
          <w:p>
            <w:pPr>
              <w:jc w:val="center"/>
              <w:ind w:right="400"/>
              <w:spacing w:after="0"/>
              <w:rPr>
                <w:sz w:val="20"/>
                <w:szCs w:val="20"/>
                <w:color w:val="auto"/>
              </w:rPr>
            </w:pPr>
            <w:r>
              <w:rPr>
                <w:rFonts w:ascii="Arial" w:cs="Arial" w:eastAsia="Arial" w:hAnsi="Arial"/>
                <w:sz w:val="14"/>
                <w:szCs w:val="14"/>
                <w:b w:val="1"/>
                <w:bCs w:val="1"/>
                <w:color w:val="FFFFFF"/>
              </w:rPr>
              <w:t>Compensation</w:t>
            </w:r>
          </w:p>
        </w:tc>
      </w:tr>
      <w:tr>
        <w:trPr>
          <w:trHeight w:val="175"/>
        </w:trPr>
        <w:tc>
          <w:tcPr>
            <w:tcW w:w="630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Plan Category</w:t>
            </w:r>
          </w:p>
        </w:tc>
        <w:tc>
          <w:tcPr>
            <w:tcW w:w="166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and RSUs</w:t>
            </w:r>
          </w:p>
        </w:tc>
        <w:tc>
          <w:tcPr>
            <w:tcW w:w="160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Options ($)(1)</w:t>
            </w:r>
          </w:p>
        </w:tc>
        <w:tc>
          <w:tcPr>
            <w:tcW w:w="1680" w:type="dxa"/>
            <w:vAlign w:val="bottom"/>
            <w:gridSpan w:val="2"/>
            <w:shd w:val="clear" w:color="auto" w:fill="E36F1E"/>
          </w:tcPr>
          <w:p>
            <w:pPr>
              <w:jc w:val="center"/>
              <w:ind w:right="420"/>
              <w:spacing w:after="0"/>
              <w:rPr>
                <w:sz w:val="20"/>
                <w:szCs w:val="20"/>
                <w:color w:val="auto"/>
              </w:rPr>
            </w:pPr>
            <w:r>
              <w:rPr>
                <w:rFonts w:ascii="Arial" w:cs="Arial" w:eastAsia="Arial" w:hAnsi="Arial"/>
                <w:sz w:val="14"/>
                <w:szCs w:val="14"/>
                <w:b w:val="1"/>
                <w:bCs w:val="1"/>
                <w:color w:val="FFFFFF"/>
              </w:rPr>
              <w:t>Plans</w:t>
            </w:r>
          </w:p>
        </w:tc>
      </w:tr>
      <w:tr>
        <w:trPr>
          <w:trHeight w:val="175"/>
        </w:trPr>
        <w:tc>
          <w:tcPr>
            <w:tcW w:w="6300" w:type="dxa"/>
            <w:vAlign w:val="bottom"/>
            <w:shd w:val="clear" w:color="auto" w:fill="CFF0FC"/>
          </w:tcPr>
          <w:p>
            <w:pPr>
              <w:spacing w:after="0"/>
              <w:rPr>
                <w:sz w:val="20"/>
                <w:szCs w:val="20"/>
                <w:color w:val="auto"/>
              </w:rPr>
            </w:pPr>
            <w:r>
              <w:rPr>
                <w:rFonts w:ascii="Arial" w:cs="Arial" w:eastAsia="Arial" w:hAnsi="Arial"/>
                <w:sz w:val="14"/>
                <w:szCs w:val="14"/>
                <w:color w:val="auto"/>
              </w:rPr>
              <w:t>Equity compensation plans approved by stockholders (2)</w:t>
            </w: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3,022,903  (3)</w:t>
            </w:r>
          </w:p>
        </w:tc>
        <w:tc>
          <w:tcPr>
            <w:tcW w:w="16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33.09</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7,147,083  (4)</w:t>
            </w:r>
          </w:p>
        </w:tc>
      </w:tr>
      <w:tr>
        <w:trPr>
          <w:trHeight w:val="175"/>
        </w:trPr>
        <w:tc>
          <w:tcPr>
            <w:tcW w:w="6300" w:type="dxa"/>
            <w:vAlign w:val="bottom"/>
          </w:tcPr>
          <w:p>
            <w:pPr>
              <w:spacing w:after="0"/>
              <w:rPr>
                <w:sz w:val="20"/>
                <w:szCs w:val="20"/>
                <w:color w:val="auto"/>
              </w:rPr>
            </w:pPr>
            <w:r>
              <w:rPr>
                <w:rFonts w:ascii="Arial" w:cs="Arial" w:eastAsia="Arial" w:hAnsi="Arial"/>
                <w:sz w:val="14"/>
                <w:szCs w:val="14"/>
                <w:color w:val="auto"/>
              </w:rPr>
              <w:t>Equity compensation plans not approved by stockholders</w:t>
            </w:r>
          </w:p>
        </w:tc>
        <w:tc>
          <w:tcPr>
            <w:tcW w:w="16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r>
      <w:tr>
        <w:trPr>
          <w:trHeight w:val="169"/>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3,022,903</w:t>
            </w:r>
          </w:p>
        </w:tc>
        <w:tc>
          <w:tcPr>
            <w:tcW w:w="420" w:type="dxa"/>
            <w:vAlign w:val="bottom"/>
            <w:tcBorders>
              <w:top w:val="single" w:sz="8" w:color="CFF0FC"/>
            </w:tcBorders>
            <w:shd w:val="clear" w:color="auto" w:fill="CFF0FC"/>
          </w:tcPr>
          <w:p>
            <w:pPr>
              <w:spacing w:after="0"/>
              <w:rPr>
                <w:sz w:val="14"/>
                <w:szCs w:val="14"/>
                <w:color w:val="auto"/>
              </w:rPr>
            </w:pPr>
          </w:p>
        </w:tc>
        <w:tc>
          <w:tcPr>
            <w:tcW w:w="1600" w:type="dxa"/>
            <w:vAlign w:val="bottom"/>
            <w:tcBorders>
              <w:top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33.09</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7,147,083</w:t>
            </w:r>
          </w:p>
        </w:tc>
        <w:tc>
          <w:tcPr>
            <w:tcW w:w="400" w:type="dxa"/>
            <w:vAlign w:val="bottom"/>
            <w:tcBorders>
              <w:top w:val="single" w:sz="8" w:color="CFF0FC"/>
            </w:tcBorders>
            <w:shd w:val="clear" w:color="auto" w:fill="CFF0FC"/>
          </w:tcPr>
          <w:p>
            <w:pPr>
              <w:spacing w:after="0"/>
              <w:rPr>
                <w:sz w:val="14"/>
                <w:szCs w:val="14"/>
                <w:color w:val="auto"/>
              </w:rPr>
            </w:pPr>
          </w:p>
        </w:tc>
      </w:tr>
    </w:tbl>
    <w:p>
      <w:pPr>
        <w:spacing w:after="0" w:line="113" w:lineRule="exact"/>
        <w:rPr>
          <w:sz w:val="20"/>
          <w:szCs w:val="20"/>
          <w:color w:val="auto"/>
        </w:rPr>
      </w:pPr>
    </w:p>
    <w:p>
      <w:pPr>
        <w:ind w:left="500" w:right="180" w:hanging="492"/>
        <w:spacing w:after="0" w:line="258"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the exercise prices of the outstanding options to purchase shares of our common stock. It does not reflect the shares of our common stock that will be issued upon the vesting of outstanding awards of RSUs, which have no exercise price.</w:t>
      </w:r>
    </w:p>
    <w:p>
      <w:pPr>
        <w:spacing w:after="0" w:line="85" w:lineRule="exact"/>
        <w:rPr>
          <w:rFonts w:ascii="Arial" w:cs="Arial" w:eastAsia="Arial" w:hAnsi="Arial"/>
          <w:sz w:val="14"/>
          <w:szCs w:val="14"/>
          <w:color w:val="auto"/>
        </w:rPr>
      </w:pPr>
    </w:p>
    <w:p>
      <w:pPr>
        <w:ind w:left="500" w:hanging="492"/>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plans consist of our 2007 Equity Incentive Plan (terminated in October 2014), our 2014 Stock Option and Incentive Plan, and our Employee Stock Purchase Plan.</w:t>
      </w:r>
    </w:p>
    <w:p>
      <w:pPr>
        <w:spacing w:after="0" w:line="109" w:lineRule="exact"/>
        <w:rPr>
          <w:rFonts w:ascii="Arial" w:cs="Arial" w:eastAsia="Arial" w:hAnsi="Arial"/>
          <w:sz w:val="14"/>
          <w:szCs w:val="14"/>
          <w:color w:val="auto"/>
        </w:rPr>
      </w:pPr>
    </w:p>
    <w:p>
      <w:pPr>
        <w:ind w:left="500" w:right="60" w:hanging="492"/>
        <w:spacing w:after="0" w:line="249"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number includes 967,408 shares of our common stock subject to outstanding awards granted under our 2007 Equity Incentive Plan, subject to outstanding options, and 2,055,495 shares subject to outstanding awards granted under our 2014 Stock Option and Incentive Plan, of which 526,260 shares were subject to outstanding options and 1,529,235 shares were subject to outstanding RSU awards.</w:t>
      </w:r>
    </w:p>
    <w:p>
      <w:pPr>
        <w:spacing w:after="0" w:line="92" w:lineRule="exact"/>
        <w:rPr>
          <w:rFonts w:ascii="Arial" w:cs="Arial" w:eastAsia="Arial" w:hAnsi="Arial"/>
          <w:sz w:val="14"/>
          <w:szCs w:val="14"/>
          <w:color w:val="auto"/>
        </w:rPr>
      </w:pPr>
    </w:p>
    <w:p>
      <w:pPr>
        <w:ind w:left="500" w:right="40" w:hanging="492"/>
        <w:spacing w:after="0" w:line="244"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number includes 5,454,224 shares of our common stock available for issuance under our 2014 Stock Option and Incentive Plan, and 1,692,859 shares reserved for issuance under our Employee Stock Purchase Plan. The number of shares available for issuance under the 2014 Stock Option and Incentive Plan automatically increase each January 1 by 5% of the outstanding number of shares of our common stock on the immediately preceding December 31 or such lesser number of shares as determined by our compensation committee. The number of shares available for issuance under the Employee Stock Purchase Plan automatically increase each January 1 by 1% of the outstanding number of shares of our common stock on the immediately preceding December 31 or such lesser number of shares as determined by our compensation committee.</w:t>
      </w:r>
    </w:p>
    <w:p>
      <w:pPr>
        <w:spacing w:after="0" w:line="1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Report of the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the review and discussions, the Compensation Committee recommended to the Board that the Compensation Discussion and Analysis be included in this Proxy Statement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Simon (Chairperson)</w:t>
      </w:r>
    </w:p>
    <w:p>
      <w:pPr>
        <w:spacing w:after="0" w:line="234" w:lineRule="auto"/>
        <w:rPr>
          <w:sz w:val="20"/>
          <w:szCs w:val="20"/>
          <w:color w:val="auto"/>
        </w:rPr>
      </w:pPr>
      <w:r>
        <w:rPr>
          <w:rFonts w:ascii="Arial" w:cs="Arial" w:eastAsia="Arial" w:hAnsi="Arial"/>
          <w:sz w:val="18"/>
          <w:szCs w:val="18"/>
          <w:color w:val="auto"/>
        </w:rPr>
        <w:t>Jay Simons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Jill Ward</w:t>
      </w:r>
    </w:p>
    <w:p>
      <w:pPr>
        <w:spacing w:after="0" w:line="39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p>
      <w:pPr>
        <w:spacing w:after="0"/>
        <w:rPr>
          <w:sz w:val="20"/>
          <w:szCs w:val="20"/>
          <w:color w:val="auto"/>
        </w:rPr>
      </w:pPr>
      <w:r>
        <w:rPr>
          <w:rFonts w:ascii="Arial" w:cs="Arial" w:eastAsia="Arial" w:hAnsi="Arial"/>
          <w:sz w:val="29"/>
          <w:szCs w:val="29"/>
          <w:b w:val="1"/>
          <w:bCs w:val="1"/>
          <w:color w:val="E36F1E"/>
        </w:rPr>
        <w:t>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Other than compensation arrangements for our directors and named executive officers, which are described elsewhere in the “Executive Compensation” section of this proxy statement, below we describe transactions since January 1, 2019 to which we were a party or will be a party, in which:</w:t>
      </w:r>
    </w:p>
    <w:p>
      <w:pPr>
        <w:spacing w:after="0" w:line="95"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E36F1E"/>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E36F1E"/>
        </w:rPr>
      </w:pPr>
    </w:p>
    <w:p>
      <w:pPr>
        <w:ind w:left="1000" w:right="220" w:hanging="493"/>
        <w:spacing w:after="0" w:line="246" w:lineRule="auto"/>
        <w:tabs>
          <w:tab w:leader="none" w:pos="1000" w:val="left"/>
        </w:tabs>
        <w:numPr>
          <w:ilvl w:val="0"/>
          <w:numId w:val="38"/>
        </w:numPr>
        <w:rPr>
          <w:rFonts w:ascii="Arial" w:cs="Arial" w:eastAsia="Arial" w:hAnsi="Arial"/>
          <w:sz w:val="18"/>
          <w:szCs w:val="18"/>
          <w:color w:val="E36F1E"/>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Limitation of Liability and Indemnification of Officers and Directors</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5"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E36F1E"/>
        </w:rPr>
      </w:pPr>
      <w:r>
        <w:rPr>
          <w:rFonts w:ascii="Arial" w:cs="Arial" w:eastAsia="Arial" w:hAnsi="Arial"/>
          <w:sz w:val="18"/>
          <w:szCs w:val="18"/>
          <w:color w:val="auto"/>
        </w:rPr>
        <w:t>any breach of their duty of loyalty to our company or our stockholders;</w:t>
      </w:r>
    </w:p>
    <w:p>
      <w:pPr>
        <w:spacing w:after="0" w:line="117" w:lineRule="exact"/>
        <w:rPr>
          <w:rFonts w:ascii="Arial" w:cs="Arial" w:eastAsia="Arial" w:hAnsi="Arial"/>
          <w:sz w:val="18"/>
          <w:szCs w:val="18"/>
          <w:color w:val="E36F1E"/>
        </w:rPr>
      </w:pPr>
    </w:p>
    <w:p>
      <w:pPr>
        <w:ind w:left="1000" w:hanging="493"/>
        <w:spacing w:after="0"/>
        <w:tabs>
          <w:tab w:leader="none" w:pos="1000" w:val="left"/>
        </w:tabs>
        <w:numPr>
          <w:ilvl w:val="0"/>
          <w:numId w:val="39"/>
        </w:numPr>
        <w:rPr>
          <w:rFonts w:ascii="Arial" w:cs="Arial" w:eastAsia="Arial" w:hAnsi="Arial"/>
          <w:sz w:val="18"/>
          <w:szCs w:val="18"/>
          <w:color w:val="E36F1E"/>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E36F1E"/>
        </w:rPr>
      </w:pPr>
    </w:p>
    <w:p>
      <w:pPr>
        <w:ind w:left="1000" w:right="580" w:hanging="493"/>
        <w:spacing w:after="0" w:line="246" w:lineRule="auto"/>
        <w:tabs>
          <w:tab w:leader="none" w:pos="1000" w:val="left"/>
        </w:tabs>
        <w:numPr>
          <w:ilvl w:val="0"/>
          <w:numId w:val="39"/>
        </w:numPr>
        <w:rPr>
          <w:rFonts w:ascii="Arial" w:cs="Arial" w:eastAsia="Arial" w:hAnsi="Arial"/>
          <w:sz w:val="18"/>
          <w:szCs w:val="18"/>
          <w:color w:val="E36F1E"/>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88" w:lineRule="exact"/>
        <w:rPr>
          <w:rFonts w:ascii="Arial" w:cs="Arial" w:eastAsia="Arial" w:hAnsi="Arial"/>
          <w:sz w:val="18"/>
          <w:szCs w:val="18"/>
          <w:color w:val="E36F1E"/>
        </w:rPr>
      </w:pPr>
    </w:p>
    <w:p>
      <w:pPr>
        <w:ind w:left="1000" w:hanging="493"/>
        <w:spacing w:after="0"/>
        <w:tabs>
          <w:tab w:leader="none" w:pos="1000" w:val="left"/>
        </w:tabs>
        <w:numPr>
          <w:ilvl w:val="0"/>
          <w:numId w:val="39"/>
        </w:numPr>
        <w:rPr>
          <w:rFonts w:ascii="Arial" w:cs="Arial" w:eastAsia="Arial" w:hAnsi="Arial"/>
          <w:sz w:val="18"/>
          <w:szCs w:val="18"/>
          <w:color w:val="E36F1E"/>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2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we adopted amended and restated bylaws which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very limited exceptions.</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Further, we have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20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limitation of liability and indemnification provisions included in our amended and restated certificate of incorporation, amended and restated bylaws and in indemnification agreements that we entered into or may in the future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7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5" w:name="page46"/>
    <w:bookmarkEnd w:id="45"/>
    <w:p>
      <w:pPr>
        <w:spacing w:after="0" w:line="238"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0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w:t>
      </w:r>
    </w:p>
    <w:p>
      <w:pPr>
        <w:spacing w:after="0" w:line="197"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directors and employees for certain liabilities arising under the Securities Act or otherwise.</w:t>
      </w:r>
    </w:p>
    <w:p>
      <w:pPr>
        <w:spacing w:after="0" w:line="19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Other Transactions with Our Executive Officers and Directors and Affiliated Entities</w:t>
      </w:r>
    </w:p>
    <w:p>
      <w:pPr>
        <w:spacing w:after="0" w:line="126"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We have granted stock options and RSUs to our executive officers and certain of our directors. See the section captioned “Executive Compensation—Outstanding Equity Awards at Fiscal Year-End” for a description of these stock options and RSUs.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Audit Committee of our Board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 Our Audit Committee charter provides that the Audit Committee shall review and approve or disapprove any related party transactions. We also adopted a formal policy governing the review and approval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 w:name="page47"/>
    <w:bookmarkEnd w:id="46"/>
    <w:p>
      <w:pPr>
        <w:spacing w:after="0"/>
        <w:rPr>
          <w:sz w:val="20"/>
          <w:szCs w:val="20"/>
          <w:color w:val="auto"/>
        </w:rPr>
      </w:pPr>
      <w:r>
        <w:rPr>
          <w:rFonts w:ascii="Arial" w:cs="Arial" w:eastAsia="Arial" w:hAnsi="Arial"/>
          <w:sz w:val="29"/>
          <w:szCs w:val="29"/>
          <w:b w:val="1"/>
          <w:bCs w:val="1"/>
          <w:color w:val="E36F1E"/>
        </w:rPr>
        <w:t>PROPOSAL ONE - ELECTION OF DIRECTORS</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Board is divided into three classes of directors. One class is elected each year at the annual meeting of stockholders for a term of three years. Vacancies on the Board are filled by the affirmative vote of a majority of the remaining directors. A director elected by the Board to fill a vacancy in a class shall hold office for the remainder of the full term of that class, and until the director’s successor is duly elected and qualified or until his or her earlier resignation, death, or removal.</w:t>
      </w:r>
    </w:p>
    <w:p>
      <w:pPr>
        <w:spacing w:after="0" w:line="205"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The term of the Class III directors is scheduled to expire at the upcoming Annual Meeting. The term of the Class I directors expires at the 2021 annual meeting of stockholders. The term of the Class II directors expires at the 2022 annual meeting of stockholders. Directors are elected to hold office for a three-year term or until the election and qualification of their successors in office.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 xml:space="preserve">Based on the recommendation of the Nominating and Corporate Governance Committee of our Board, our Board has nominated </w:t>
      </w:r>
      <w:r>
        <w:rPr>
          <w:rFonts w:ascii="Arial" w:cs="Arial" w:eastAsia="Arial" w:hAnsi="Arial"/>
          <w:sz w:val="18"/>
          <w:szCs w:val="18"/>
          <w:b w:val="1"/>
          <w:bCs w:val="1"/>
          <w:color w:val="auto"/>
        </w:rPr>
        <w:t>Julie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Herendeen, Michael Simon, and Jay Simons </w:t>
      </w:r>
      <w:r>
        <w:rPr>
          <w:rFonts w:ascii="Arial" w:cs="Arial" w:eastAsia="Arial" w:hAnsi="Arial"/>
          <w:sz w:val="18"/>
          <w:szCs w:val="18"/>
          <w:color w:val="auto"/>
        </w:rPr>
        <w:t>for election as Class III directors to serve for a three-year term ending at the 2023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or until their successors are elected and qualified. Each of the nominees is a current member of our Board and has consented to serve if elected.</w:t>
      </w:r>
    </w:p>
    <w:p>
      <w:pPr>
        <w:spacing w:after="0" w:line="174"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Unless you direct otherwise through your proxy voting instructions, the persons named as proxies will vote all proxies received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nominee. If any nominee is unable or unwilling to serve at the time of the Annual Meeting, the persons named as proxies may vote for a substitute nominee chosen by the present Board. In the alternative, the proxies may vote only for the remaining nominees, leaving a vacancy on the Board. The Board may fill such vacancy at a later date or reduce the size of the Board. We have no reason to believe that any of the nominees will be unwilling or unable to serve if elected as a director.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Not Standing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Class I directors and Class II directors are not standing for election at this year’s Annual Meeting. Our Class I directors, consisting of Brian Halligan, Ron Gill, and Jill Ward, will continue in office until the 2021 annual meeting of stockholders. Our Class II directors, consisting of Lorrie Norrington, Dharmesh Shah, and Avanish Sahai, will continue in office until the 2022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amended and restated by-laws provide for a majority voting standard in uncontested elections of directors (as is the case for this Annual Meeting). Under a majority voting standard, each nominee must receive a majority of votes cast to be elected, which means a director nominee will be elected to the Board only if the votes cast for such nominee’s election exceed the votes cast against such nominee’s election. Abstentions and broker non-votes are not considered votes “for” or “against” the nominee’s election. An incumbent director who is nominated for election and fails to receive a majority of the votes cast for such director’s reelection would be required to promptly deliver to the Board an irrevocable offer to resign from the Board. The Nominating and Corporate Governance Committee will make a recommendation to the Board on whether to accept or reject the resignation, or whether other action should be taken. The Board will act on the recommendation of the Nominating and Corporate Governance Committee and will publicly disclose its decision within 90 days from the date of the certification of the election results. A plurality voting standard will continue to apply to contested director elections. A contested election will generally include any situation in which the Company receives a notice that a stockholder has nominated a person for election to the Board at a meeting of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514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YOU VOTE “FOR” THE ELECTION OF EACH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NOMINEES FOR CLASS III DIRECTOR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7" w:name="page48"/>
    <w:bookmarkEnd w:id="47"/>
    <w:p>
      <w:pPr>
        <w:ind w:right="2120"/>
        <w:spacing w:after="0" w:line="278" w:lineRule="auto"/>
        <w:rPr>
          <w:sz w:val="20"/>
          <w:szCs w:val="20"/>
          <w:color w:val="auto"/>
        </w:rPr>
      </w:pPr>
      <w:r>
        <w:rPr>
          <w:rFonts w:ascii="Arial" w:cs="Arial" w:eastAsia="Arial" w:hAnsi="Arial"/>
          <w:sz w:val="29"/>
          <w:szCs w:val="29"/>
          <w:b w:val="1"/>
          <w:bCs w:val="1"/>
          <w:color w:val="E36F1E"/>
        </w:rPr>
        <w:t>PROPOSAL TWO - RATIFICATION OF THE APPOINTMENT OF OUR INDEPENDENT REGISTERED PUBLIC ACCOUNTING FIRM</w:t>
      </w:r>
    </w:p>
    <w:p>
      <w:pPr>
        <w:spacing w:after="0" w:line="5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have appointed PricewaterhouseCoopers LLP as our independent registered public accounting firm to perform the audit of our consolidated financial statements for the fiscal year ending December 31, 2020, and we are asking you and other stockholders to ratify this appointment. PricewaterhouseCoopers LLP has served as our independent registered public accounting firm since 2016.</w:t>
      </w:r>
    </w:p>
    <w:p>
      <w:pPr>
        <w:spacing w:after="0" w:line="2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Board determined to submit to stockholders for ratification the appointment of PricewaterhouseCoopers LLP. A majority of the votes properly cast is required in order to ratify the appointment of PricewaterhouseCoopers LLP. In the event that a majority of the votes properly cast do not ratify this appointment of PricewaterhouseCoopers LLP, we will review our future appointment of PricewaterhouseCoopers LLP.</w:t>
      </w:r>
    </w:p>
    <w:p>
      <w:pPr>
        <w:spacing w:after="0" w:line="20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spacing w:after="0" w:line="171" w:lineRule="exact"/>
        <w:rPr>
          <w:sz w:val="20"/>
          <w:szCs w:val="20"/>
          <w:color w:val="auto"/>
        </w:rPr>
      </w:pPr>
    </w:p>
    <w:p>
      <w:pPr>
        <w:ind w:right="820"/>
        <w:spacing w:after="0" w:line="261" w:lineRule="auto"/>
        <w:rPr>
          <w:sz w:val="20"/>
          <w:szCs w:val="20"/>
          <w:color w:val="auto"/>
        </w:rPr>
      </w:pPr>
      <w:r>
        <w:rPr>
          <w:rFonts w:ascii="Arial" w:cs="Arial" w:eastAsia="Arial" w:hAnsi="Arial"/>
          <w:sz w:val="22"/>
          <w:szCs w:val="22"/>
          <w:b w:val="1"/>
          <w:bCs w:val="1"/>
          <w:color w:val="auto"/>
        </w:rPr>
        <w:t>Policy on Audit Committee Pre-Approval of Audit and Permissible Non-Audit Services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adopted a policy under which the Audit Committee must pre-approve all audit and permissible non-audit services to be provided by the independent registered public accounting firm. These services may include audit services, audit-related services, tax services and other services. Pre-approval would generally be requested annually, with any pre-approval detailed as to the particular service, which must be classified in one of the four categories of services listed below. The Audit Committee may also, on a case-by-case basis, pre-approve particular services that are not contained in the annual pre-approval request. In connection with this pre-approval policy, the Audit Committee also considers whether the categories of pre-approved services are consistent with the rules on accountant independence of the SEC and the Public Company Accounting Oversight Board.</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addition, in the event time constraints require pre-approval prior to the Audit Committee’s next scheduled meeting, the Audit Committee has authorized its Chairperson to pre-approve services. Engagements so pre-approved are to be reported to the Audit Committee at its next scheduled meeting. The Audit Committee pre-approved all services performed since the pre-approval policy was adopted.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table sets forth the fees billed by PricewaterhouseCoopers LLP for audit, audit-related, tax and all other services rendered for 2019 and 2018 (in thousands):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280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Fee Category</w:t>
            </w:r>
          </w:p>
        </w:tc>
        <w:tc>
          <w:tcPr>
            <w:tcW w:w="1760" w:type="dxa"/>
            <w:vAlign w:val="bottom"/>
            <w:shd w:val="clear" w:color="auto" w:fill="E36F1E"/>
          </w:tcPr>
          <w:p>
            <w:pPr>
              <w:spacing w:after="0"/>
              <w:rPr>
                <w:sz w:val="15"/>
                <w:szCs w:val="15"/>
                <w:color w:val="auto"/>
              </w:rPr>
            </w:pPr>
          </w:p>
        </w:tc>
        <w:tc>
          <w:tcPr>
            <w:tcW w:w="1440" w:type="dxa"/>
            <w:vAlign w:val="bottom"/>
            <w:shd w:val="clear" w:color="auto" w:fill="E36F1E"/>
          </w:tcPr>
          <w:p>
            <w:pPr>
              <w:jc w:val="right"/>
              <w:ind w:right="748"/>
              <w:spacing w:after="0"/>
              <w:rPr>
                <w:sz w:val="20"/>
                <w:szCs w:val="20"/>
                <w:color w:val="auto"/>
              </w:rPr>
            </w:pPr>
            <w:r>
              <w:rPr>
                <w:rFonts w:ascii="Arial" w:cs="Arial" w:eastAsia="Arial" w:hAnsi="Arial"/>
                <w:sz w:val="14"/>
                <w:szCs w:val="14"/>
                <w:b w:val="1"/>
                <w:bCs w:val="1"/>
                <w:color w:val="FFFFFF"/>
              </w:rPr>
              <w:t>2019</w:t>
            </w:r>
          </w:p>
        </w:tc>
        <w:tc>
          <w:tcPr>
            <w:tcW w:w="500" w:type="dxa"/>
            <w:vAlign w:val="bottom"/>
            <w:shd w:val="clear" w:color="auto" w:fill="E36F1E"/>
          </w:tcPr>
          <w:p>
            <w:pPr>
              <w:spacing w:after="0"/>
              <w:rPr>
                <w:sz w:val="15"/>
                <w:szCs w:val="15"/>
                <w:color w:val="auto"/>
              </w:rPr>
            </w:pPr>
          </w:p>
        </w:tc>
        <w:tc>
          <w:tcPr>
            <w:tcW w:w="1360" w:type="dxa"/>
            <w:vAlign w:val="bottom"/>
            <w:shd w:val="clear" w:color="auto" w:fill="E36F1E"/>
          </w:tcPr>
          <w:p>
            <w:pPr>
              <w:jc w:val="right"/>
              <w:ind w:right="668"/>
              <w:spacing w:after="0"/>
              <w:rPr>
                <w:sz w:val="20"/>
                <w:szCs w:val="20"/>
                <w:color w:val="auto"/>
              </w:rPr>
            </w:pPr>
            <w:r>
              <w:rPr>
                <w:rFonts w:ascii="Arial" w:cs="Arial" w:eastAsia="Arial" w:hAnsi="Arial"/>
                <w:sz w:val="14"/>
                <w:szCs w:val="14"/>
                <w:b w:val="1"/>
                <w:bCs w:val="1"/>
                <w:color w:val="FFFFFF"/>
              </w:rPr>
              <w:t>2018</w:t>
            </w:r>
          </w:p>
        </w:tc>
      </w:tr>
      <w:tr>
        <w:trPr>
          <w:trHeight w:val="175"/>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Audit Fees (1)</w:t>
            </w:r>
          </w:p>
        </w:tc>
        <w:tc>
          <w:tcPr>
            <w:tcW w:w="176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2,069</w:t>
            </w:r>
          </w:p>
        </w:tc>
        <w:tc>
          <w:tcPr>
            <w:tcW w:w="50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1,690</w:t>
            </w:r>
          </w:p>
        </w:tc>
      </w:tr>
      <w:tr>
        <w:trPr>
          <w:trHeight w:val="175"/>
        </w:trPr>
        <w:tc>
          <w:tcPr>
            <w:tcW w:w="2800" w:type="dxa"/>
            <w:vAlign w:val="bottom"/>
          </w:tcPr>
          <w:p>
            <w:pPr>
              <w:spacing w:after="0"/>
              <w:rPr>
                <w:sz w:val="20"/>
                <w:szCs w:val="20"/>
                <w:color w:val="auto"/>
              </w:rPr>
            </w:pPr>
            <w:r>
              <w:rPr>
                <w:rFonts w:ascii="Arial" w:cs="Arial" w:eastAsia="Arial" w:hAnsi="Arial"/>
                <w:sz w:val="14"/>
                <w:szCs w:val="14"/>
                <w:color w:val="auto"/>
              </w:rPr>
              <w:t>Audit-Related Fees (2)</w:t>
            </w:r>
          </w:p>
        </w:tc>
        <w:tc>
          <w:tcPr>
            <w:tcW w:w="176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5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100</w:t>
            </w:r>
          </w:p>
        </w:tc>
      </w:tr>
      <w:tr>
        <w:trPr>
          <w:trHeight w:val="175"/>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Tax Fees (3)</w:t>
            </w:r>
          </w:p>
        </w:tc>
        <w:tc>
          <w:tcPr>
            <w:tcW w:w="17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397</w:t>
            </w:r>
          </w:p>
        </w:tc>
        <w:tc>
          <w:tcPr>
            <w:tcW w:w="5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w:t>
            </w:r>
          </w:p>
        </w:tc>
      </w:tr>
      <w:tr>
        <w:trPr>
          <w:trHeight w:val="175"/>
        </w:trPr>
        <w:tc>
          <w:tcPr>
            <w:tcW w:w="2800" w:type="dxa"/>
            <w:vAlign w:val="bottom"/>
          </w:tcPr>
          <w:p>
            <w:pPr>
              <w:spacing w:after="0"/>
              <w:rPr>
                <w:sz w:val="20"/>
                <w:szCs w:val="20"/>
                <w:color w:val="auto"/>
              </w:rPr>
            </w:pPr>
            <w:r>
              <w:rPr>
                <w:rFonts w:ascii="Arial" w:cs="Arial" w:eastAsia="Arial" w:hAnsi="Arial"/>
                <w:sz w:val="14"/>
                <w:szCs w:val="14"/>
                <w:color w:val="auto"/>
              </w:rPr>
              <w:t>Other Fees (4)</w:t>
            </w:r>
          </w:p>
        </w:tc>
        <w:tc>
          <w:tcPr>
            <w:tcW w:w="176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175"/>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Total Fees</w:t>
            </w:r>
          </w:p>
        </w:tc>
        <w:tc>
          <w:tcPr>
            <w:tcW w:w="176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2,594</w:t>
            </w:r>
          </w:p>
        </w:tc>
        <w:tc>
          <w:tcPr>
            <w:tcW w:w="50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1,860</w:t>
            </w:r>
          </w:p>
        </w:tc>
      </w:tr>
    </w:tbl>
    <w:p>
      <w:pPr>
        <w:spacing w:after="0" w:line="126" w:lineRule="exact"/>
        <w:rPr>
          <w:sz w:val="20"/>
          <w:szCs w:val="20"/>
          <w:color w:val="auto"/>
        </w:rPr>
      </w:pPr>
    </w:p>
    <w:p>
      <w:pPr>
        <w:ind w:left="500" w:right="40" w:hanging="492"/>
        <w:spacing w:after="0" w:line="249"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Audit fees consist of fees billed for professional services rendered for the integrated audit of our annual consolidated financial statements, reviews of our quarterly consolidated financial statements, and foreign statutory audits and services that are normally provided by PricewaterhouseCoopers LLP in connection with statutory and regulatory filings or requirements. Audit fees also include accounting consultations and research related to the integrated audit.</w:t>
      </w:r>
    </w:p>
    <w:p>
      <w:pPr>
        <w:spacing w:after="0" w:line="92" w:lineRule="exact"/>
        <w:rPr>
          <w:rFonts w:ascii="Arial" w:cs="Arial" w:eastAsia="Arial" w:hAnsi="Arial"/>
          <w:sz w:val="14"/>
          <w:szCs w:val="14"/>
          <w:color w:val="auto"/>
        </w:rPr>
      </w:pPr>
    </w:p>
    <w:p>
      <w:pPr>
        <w:ind w:left="500" w:right="300" w:hanging="492"/>
        <w:spacing w:after="0" w:line="249"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Audit-Related Fees consist of fees billed for assurance and related services that are reasonably related to the performance of the audit or review of our consolidated financial statements and are not reported under “Audit Fees.” These include fees for common stock offerings and assistance with the adoption of a new accounting standard.</w:t>
      </w:r>
    </w:p>
    <w:p>
      <w:pPr>
        <w:spacing w:after="0" w:line="92" w:lineRule="exact"/>
        <w:rPr>
          <w:rFonts w:ascii="Arial" w:cs="Arial" w:eastAsia="Arial" w:hAnsi="Arial"/>
          <w:sz w:val="14"/>
          <w:szCs w:val="14"/>
          <w:color w:val="auto"/>
        </w:rPr>
      </w:pPr>
    </w:p>
    <w:p>
      <w:pPr>
        <w:ind w:left="500" w:hanging="492"/>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Tax Fees consist of fees billed for tax compliance, consultation and planning services.</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Fees consist of fees billed for accounting research and disclosure software.</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457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85" w:lineRule="exact"/>
        <w:rPr>
          <w:sz w:val="20"/>
          <w:szCs w:val="20"/>
          <w:color w:val="auto"/>
        </w:rPr>
      </w:pPr>
    </w:p>
    <w:p>
      <w:pPr>
        <w:jc w:val="center"/>
        <w:ind w:left="340" w:right="120"/>
        <w:spacing w:after="0" w:line="301" w:lineRule="auto"/>
        <w:rPr>
          <w:sz w:val="20"/>
          <w:szCs w:val="20"/>
          <w:color w:val="auto"/>
        </w:rPr>
      </w:pPr>
      <w:r>
        <w:rPr>
          <w:rFonts w:ascii="Arial" w:cs="Arial" w:eastAsia="Arial" w:hAnsi="Arial"/>
          <w:sz w:val="17"/>
          <w:szCs w:val="17"/>
          <w:b w:val="1"/>
          <w:bCs w:val="1"/>
          <w:color w:val="auto"/>
        </w:rPr>
        <w:t>THE BOARD RECOMMENDS THAT YOU VOTE “FOR” RATIFICATION OF THE APPOINTMENT OF PRICEWATERHOUSECOOPERS LLP AS OUR INDEPENDENT REGISTERED PUBLIC ACCOUNTING FIRM FOR THE FISCAL YEAR ENDING DECEMBER 31, 2020.</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Audit Committee report shall not be deemed to be (1) “soliciting material,” (2) “filed” with the SEC,</w:t>
      </w:r>
    </w:p>
    <w:p>
      <w:pPr>
        <w:jc w:val="both"/>
        <w:ind w:right="300" w:firstLine="8"/>
        <w:spacing w:after="0" w:line="238"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Regulations 14A or 14C of the Exchange Act, or (4) subject to the liabilities of Section 18 of the Exchange Act. 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HubSpot specifically incorporates this report or a portion of it by reference. In addition, this report shall not be deemed filed under either the Securities Act or the Exchange Act.</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report is submitted by the Audit Committee of the Board. None of the members of the Audit Committee is an officer or employee of HubSpot, and the Board has determined that each member of the Audit Committee is “independent” for audit committee purposes as that term is defined under Rule 10A-3 of the Exchange Act, and the applicable NYSE Market rules. Each member of the Audit Committee meets the requirements for financial literacy under the applicable rules and regulations of the SEC and NYSE. The Board has designated Mr. Gill as an “audit committee financial expert,” as defined under the applicable rules of the SEC. The Audit Committee operates under a written charter adopted by the Board.</w:t>
      </w:r>
    </w:p>
    <w:p>
      <w:pPr>
        <w:spacing w:after="0" w:line="20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Audit Committee’s general role is to assist the Board in monitoring our financial reporting process and related matters. Its specific responsibilities are set forth in its charter.</w:t>
      </w:r>
    </w:p>
    <w:p>
      <w:pPr>
        <w:spacing w:after="0" w:line="1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Audit Committee has reviewed the company’s consolidated financial statements for 2019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SEC.</w:t>
      </w:r>
    </w:p>
    <w:p>
      <w:pPr>
        <w:spacing w:after="0" w:line="2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Audit Committee reviewed management’s report on its assessment of the effectiveness of the company’s internal control over financial reporting and the independent registered public accounting firm’s report on the effectiveness of the company’s internal control over financial reporting. The Audit Committee meets with representatives of the independent registered public accounting firm, with and without management present, to discuss the results of their examinations; their evaluations of the company’s internal control, including internal control over financial reporting; and the overall quality of the company’s financial reporting.</w:t>
      </w:r>
    </w:p>
    <w:p>
      <w:pPr>
        <w:spacing w:after="0" w:line="202"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w:t>
      </w:r>
    </w:p>
    <w:p>
      <w:pPr>
        <w:spacing w:after="0" w:line="20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Based on these discussions, the financial statement review and other matters it deemed relevant, the Audit Committee recommended to the Board that the company’s audited consolidated financial statements for 2019 be included in its Annual Report on Form 10-K for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Gill (Chairperson)</w:t>
      </w:r>
    </w:p>
    <w:p>
      <w:pPr>
        <w:spacing w:after="0" w:line="234" w:lineRule="auto"/>
        <w:rPr>
          <w:sz w:val="20"/>
          <w:szCs w:val="20"/>
          <w:color w:val="auto"/>
        </w:rPr>
      </w:pPr>
      <w:r>
        <w:rPr>
          <w:rFonts w:ascii="Arial" w:cs="Arial" w:eastAsia="Arial" w:hAnsi="Arial"/>
          <w:sz w:val="18"/>
          <w:szCs w:val="18"/>
          <w:color w:val="auto"/>
        </w:rPr>
        <w:t>Julie Herendeen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Avanish Sahai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9" w:name="page50"/>
    <w:bookmarkEnd w:id="49"/>
    <w:p>
      <w:pPr>
        <w:ind w:right="1160"/>
        <w:spacing w:after="0" w:line="278" w:lineRule="auto"/>
        <w:rPr>
          <w:sz w:val="20"/>
          <w:szCs w:val="20"/>
          <w:color w:val="auto"/>
        </w:rPr>
      </w:pPr>
      <w:r>
        <w:rPr>
          <w:rFonts w:ascii="Arial" w:cs="Arial" w:eastAsia="Arial" w:hAnsi="Arial"/>
          <w:sz w:val="29"/>
          <w:szCs w:val="29"/>
          <w:b w:val="1"/>
          <w:bCs w:val="1"/>
          <w:color w:val="E36F1E"/>
        </w:rPr>
        <w:t>PROPOSAL THREE – NON-BINDING, ADVISORY VOTE TO APPROVE THE COMPENSATION OF OUR NAMED EXECUTIVE OFFICERS</w:t>
      </w:r>
    </w:p>
    <w:p>
      <w:pPr>
        <w:spacing w:after="0" w:line="5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Section 14A of the Exchange Act requires that we provide our stockholders with the opportunity to vote to approve, on a non-binding, advisory basis, not less frequently than once every three years, the compensation of our named executive officers as disclosed in our annual proxy statement in accordance with the compensation disclosure rules of the SEC.</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described in detail under the heading “Compensation Discussion and Analysis,” we seek to closely align the interests of our named executive officers with the interests of our stockholders. Our compensation program is designed to reward our named executive officers for the achievement of short-term and long-term financial, operational and strategic goals and the achievement of increased total stockholder return, while at the same time avoiding the encouragement of unnecessary or excessive risk-taking.</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Stockholders are urged to read the “Compensation Discussion and Analysis” and “Executive Compensation” sections of this proxy statement, which discuss how our executive compensation policies and practices implement our compensation philosophy and contain tabular information and narrative discussion about the compensation of our named executive officers. Our Board and the Compensation Committee believe that these policies and practices are effective in implementing our compensation philosophy and in achieving our compensation program goals.</w:t>
      </w:r>
    </w:p>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vote on this resolution is not intended to address any specific element of compensation but rather the overall compensation of our named executive officers and the philosophy, policies and practices described in this proxy statement. The vote is advisory, which means that the vote is not binding on the Company, our Board or the Compensation Committee. Although non-binding, our Board and the Compensation Committee value the opinions that stockholders express in their votes and will review the voting results and take them into consideration as they deem appropriate when making future decisions regarding our executive compensation program.</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Accordingly, we are asking our stockholders to vote on the following resolution at the Annual Meeting:</w:t>
      </w:r>
    </w:p>
    <w:p>
      <w:pPr>
        <w:spacing w:after="0" w:line="190" w:lineRule="exact"/>
        <w:rPr>
          <w:sz w:val="20"/>
          <w:szCs w:val="20"/>
          <w:color w:val="auto"/>
        </w:rPr>
      </w:pPr>
    </w:p>
    <w:p>
      <w:pPr>
        <w:ind w:left="520" w:right="120"/>
        <w:spacing w:after="0" w:line="275"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stockholders of HubSpot, Inc. approve, on a non-binding, advisory basis, the compensation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named executive officers, as disclosed in this proxy statement pursuant to Item 402 of Regulation S-K, including in the Compensation Discussion and Analysis, the compensation tables and the narrative disclosures that accompany the compensation tables.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177165</wp:posOffset>
            </wp:positionV>
            <wp:extent cx="7123430" cy="377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3430" cy="377190"/>
                    </a:xfrm>
                    <a:prstGeom prst="rect">
                      <a:avLst/>
                    </a:prstGeom>
                    <a:noFill/>
                  </pic:spPr>
                </pic:pic>
              </a:graphicData>
            </a:graphic>
          </wp:anchor>
        </w:drawing>
      </w:r>
    </w:p>
    <w:p>
      <w:pPr>
        <w:spacing w:after="0" w:line="385" w:lineRule="exact"/>
        <w:rPr>
          <w:sz w:val="20"/>
          <w:szCs w:val="20"/>
          <w:color w:val="auto"/>
        </w:rPr>
      </w:pPr>
    </w:p>
    <w:p>
      <w:pPr>
        <w:jc w:val="center"/>
        <w:ind w:left="360" w:right="200"/>
        <w:spacing w:after="0" w:line="271" w:lineRule="auto"/>
        <w:rPr>
          <w:sz w:val="20"/>
          <w:szCs w:val="20"/>
          <w:color w:val="auto"/>
        </w:rPr>
      </w:pPr>
      <w:r>
        <w:rPr>
          <w:rFonts w:ascii="Arial" w:cs="Arial" w:eastAsia="Arial" w:hAnsi="Arial"/>
          <w:sz w:val="18"/>
          <w:szCs w:val="18"/>
          <w:b w:val="1"/>
          <w:bCs w:val="1"/>
          <w:color w:val="auto"/>
        </w:rPr>
        <w:t>THE BOARD RECOMMENDS THAT YOU VOTE “FOR” THE APPROVAL OF, ON AN ADVISORY BASIS,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0" w:name="page51"/>
    <w:bookmarkEnd w:id="50"/>
    <w:p>
      <w:pPr>
        <w:spacing w:after="0"/>
        <w:rPr>
          <w:sz w:val="20"/>
          <w:szCs w:val="20"/>
          <w:color w:val="auto"/>
        </w:rPr>
      </w:pPr>
      <w:r>
        <w:rPr>
          <w:rFonts w:ascii="Arial" w:cs="Arial" w:eastAsia="Arial" w:hAnsi="Arial"/>
          <w:sz w:val="29"/>
          <w:szCs w:val="29"/>
          <w:b w:val="1"/>
          <w:bCs w:val="1"/>
          <w:color w:val="E36F1E"/>
        </w:rPr>
        <w:t>TRANSACTION OF OTHER BUSINESS</w:t>
      </w:r>
    </w:p>
    <w:p>
      <w:pPr>
        <w:spacing w:after="0" w:line="15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Annual Meeting, the persons appointed in the accompanying proxy intend to vote the shares represented thereby in accordance with their best judgment on such matters, under applicable laws.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E36F1E"/>
        </w:rPr>
        <w:t>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for Submitting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Requirements for Stockholder Proposals to be Brought Before the Annual Meeting</w:t>
      </w:r>
    </w:p>
    <w:p>
      <w:pPr>
        <w:spacing w:after="0" w:line="126" w:lineRule="exact"/>
        <w:rPr>
          <w:sz w:val="20"/>
          <w:szCs w:val="20"/>
          <w:color w:val="auto"/>
        </w:rPr>
      </w:pPr>
    </w:p>
    <w:p>
      <w:pPr>
        <w:jc w:val="both"/>
        <w:ind w:right="340"/>
        <w:spacing w:after="0" w:line="234" w:lineRule="auto"/>
        <w:rPr>
          <w:sz w:val="20"/>
          <w:szCs w:val="20"/>
          <w:color w:val="auto"/>
        </w:rPr>
      </w:pPr>
      <w:r>
        <w:rPr>
          <w:rFonts w:ascii="Arial" w:cs="Arial" w:eastAsia="Arial" w:hAnsi="Arial"/>
          <w:sz w:val="18"/>
          <w:szCs w:val="18"/>
          <w:color w:val="auto"/>
        </w:rPr>
        <w:t>Our bylaws provide that, for nominations of persons for election to our Board or other proposals to be considered at an annual meeting of stockholders, a stockholder must give written notice to our Secretary at 25 First Street, Cambridge, MA 02141, not later than the close of business 90 days, nor earlier than the close of business 120 days, prior to the first anniversary of the date of the preceding year’s annual meeting. However, the bylaws also provide that in the event the date of the annual meeting is more than 30 days before or more than</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60 days after such anniversary date, notice must be delivered not later than the close of business on the later of the 90th day prior to such annual meeting or the 10th day following the day on which public announcement of the date of such meeting is first made. 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we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our books, of the stockholder proposing such business, the number of shares of our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2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advance notice requirements under our bylaws for the 2021 Annual Meeting of Stockholders are as follows: a stockholder’s notice shall be timely if delivered to our Secretary at the address set forth above not earlier than February 17, 2021 and not later than the close of business on March 19, 2021. However, if the date of our 2021 Annual Meeting of Stockholders occurs more than 30 days before or 60 days after June 17, 2021, the anniversary of the 2020 Annual Meeting, a stockholder notice will be timely if it is received at the address set forth above by the later of the close of business on (1) the 90</w:t>
      </w:r>
      <w:r>
        <w:rPr>
          <w:rFonts w:ascii="Arial" w:cs="Arial" w:eastAsia="Arial" w:hAnsi="Arial"/>
          <w:sz w:val="15"/>
          <w:szCs w:val="15"/>
          <w:color w:val="auto"/>
        </w:rPr>
        <w:t>th</w:t>
      </w:r>
      <w:r>
        <w:rPr>
          <w:rFonts w:ascii="Arial" w:cs="Arial" w:eastAsia="Arial" w:hAnsi="Arial"/>
          <w:sz w:val="18"/>
          <w:szCs w:val="18"/>
          <w:color w:val="auto"/>
        </w:rPr>
        <w:t xml:space="preserve"> day prior to such annual meeting or (2) the tenth day following the day on which public disclosure of the date of the meeting is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Requirements for Stockholder Proposals to be Considered for Inclusion in the Company’s Proxy Materials</w:t>
      </w:r>
    </w:p>
    <w:p>
      <w:pPr>
        <w:spacing w:after="0" w:line="12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In addition to the requirements stated above, any stockholder who wishes to submit a proposal for inclusion in our proxy materials must comply with Rule 14a-8 promulgated under the Exchange Act. For such proposals to be included in our proxy materials relating to our 2021 annual meeting of stockholders, all applicable requirements of Rule 14a-8 must be satisfied and we must receive such proposals no later than December 24, 2020. Such proposals must be delivered to our Secretary, c/o HubSpot, Inc., 25 First Street, Cambridge, MA 02141.</w:t>
      </w:r>
    </w:p>
    <w:p>
      <w:pPr>
        <w:spacing w:after="0" w:line="200" w:lineRule="exact"/>
        <w:rPr>
          <w:sz w:val="20"/>
          <w:szCs w:val="20"/>
          <w:color w:val="auto"/>
        </w:rPr>
      </w:pPr>
    </w:p>
    <w:p>
      <w:pPr>
        <w:spacing w:after="0" w:line="39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2020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7895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789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363220</wp:posOffset>
            </wp:positionV>
            <wp:extent cx="5606415" cy="73120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5606415" cy="7312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2)"/>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4"/>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2"/>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2020-04-24T15:06:55Z</dcterms:created>
  <dcterms:modified xsi:type="dcterms:W3CDTF">2020-04-24T15:06:55Z</dcterms:modified>
</cp:coreProperties>
</file>