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left="260" w:right="2440"/>
        <w:spacing w:after="0" w:line="237"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July 9, 2014 as Amendment No. 3 to the confidential submission, dated March 28, 2014. This draft registration statement has not been filed publicly with the Securities and Exchange Commission and all information herein remains strictly confidential.</w:t>
      </w:r>
    </w:p>
    <w:p>
      <w:pPr>
        <w:spacing w:after="0" w:line="39" w:lineRule="exact"/>
        <w:rPr>
          <w:sz w:val="24"/>
          <w:szCs w:val="24"/>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HubSpot,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0"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7372</w:t>
            </w:r>
          </w:p>
        </w:tc>
        <w:tc>
          <w:tcPr>
            <w:tcW w:w="322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20-2632791</w:t>
            </w:r>
          </w:p>
        </w:tc>
      </w:tr>
      <w:tr>
        <w:trPr>
          <w:trHeight w:val="149"/>
        </w:trPr>
        <w:tc>
          <w:tcPr>
            <w:tcW w:w="2820" w:type="dxa"/>
            <w:vAlign w:val="bottom"/>
          </w:tcPr>
          <w:p>
            <w:pPr>
              <w:jc w:val="center"/>
              <w:ind w:right="10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6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32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188"/>
        </w:trPr>
        <w:tc>
          <w:tcPr>
            <w:tcW w:w="282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220" w:type="dxa"/>
            <w:vAlign w:val="bottom"/>
          </w:tcPr>
          <w:p>
            <w:pPr>
              <w:spacing w:after="0"/>
              <w:rPr>
                <w:sz w:val="16"/>
                <w:szCs w:val="16"/>
                <w:color w:val="auto"/>
              </w:rPr>
            </w:pP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25 First Street, 2nd Floor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Cambridge, Massachusetts 02141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(888) 482-7768</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Brian Halligan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HubSpot, Inc.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25 First Street, 2nd Floor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Cambridge, Massachusetts 02141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(888) 482-7768</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3880" w:type="dxa"/>
            <w:vAlign w:val="bottom"/>
          </w:tcPr>
          <w:p>
            <w:pPr>
              <w:ind w:left="160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2960" w:type="dxa"/>
            <w:vAlign w:val="bottom"/>
          </w:tcPr>
          <w:p>
            <w:pPr>
              <w:spacing w:after="0"/>
              <w:rPr>
                <w:sz w:val="16"/>
                <w:szCs w:val="16"/>
                <w:color w:val="auto"/>
              </w:rPr>
            </w:pPr>
          </w:p>
        </w:tc>
      </w:tr>
      <w:tr>
        <w:trPr>
          <w:trHeight w:val="188"/>
        </w:trPr>
        <w:tc>
          <w:tcPr>
            <w:tcW w:w="276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Mark T. Bettencourt, Esq.</w:t>
            </w:r>
          </w:p>
        </w:tc>
        <w:tc>
          <w:tcPr>
            <w:tcW w:w="38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John P. Kelleher, Esq.</w:t>
            </w:r>
          </w:p>
        </w:tc>
        <w:tc>
          <w:tcPr>
            <w:tcW w:w="29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Mark G. Borden, Esq.</w:t>
            </w:r>
          </w:p>
        </w:tc>
      </w:tr>
      <w:tr>
        <w:trPr>
          <w:trHeight w:val="149"/>
        </w:trPr>
        <w:tc>
          <w:tcPr>
            <w:tcW w:w="276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Joseph C. Theis, Jr., Esq.</w:t>
            </w:r>
          </w:p>
        </w:tc>
        <w:tc>
          <w:tcPr>
            <w:tcW w:w="38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c>
          <w:tcPr>
            <w:tcW w:w="296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David A. Westenberg, Esq.</w:t>
            </w:r>
          </w:p>
        </w:tc>
      </w:tr>
      <w:tr>
        <w:trPr>
          <w:trHeight w:val="149"/>
        </w:trPr>
        <w:tc>
          <w:tcPr>
            <w:tcW w:w="276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38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HubSpot, Inc.</w:t>
            </w:r>
          </w:p>
        </w:tc>
        <w:tc>
          <w:tcPr>
            <w:tcW w:w="296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Wilmer Cutler Pickering Hale and</w:t>
            </w:r>
          </w:p>
        </w:tc>
      </w:tr>
      <w:tr>
        <w:trPr>
          <w:trHeight w:val="149"/>
        </w:trPr>
        <w:tc>
          <w:tcPr>
            <w:tcW w:w="27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Exchange Place</w:t>
            </w:r>
          </w:p>
        </w:tc>
        <w:tc>
          <w:tcPr>
            <w:tcW w:w="38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25 First Street, 2nd Floor</w:t>
            </w:r>
          </w:p>
        </w:tc>
        <w:tc>
          <w:tcPr>
            <w:tcW w:w="296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b w:val="1"/>
                <w:bCs w:val="1"/>
                <w:color w:val="auto"/>
              </w:rPr>
              <w:t>Dorr LLP</w:t>
            </w:r>
          </w:p>
        </w:tc>
      </w:tr>
      <w:tr>
        <w:trPr>
          <w:trHeight w:val="149"/>
        </w:trPr>
        <w:tc>
          <w:tcPr>
            <w:tcW w:w="276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53 State Street</w:t>
            </w:r>
          </w:p>
        </w:tc>
        <w:tc>
          <w:tcPr>
            <w:tcW w:w="38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Cambridge, Massachusetts 02141</w:t>
            </w:r>
          </w:p>
        </w:tc>
        <w:tc>
          <w:tcPr>
            <w:tcW w:w="296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60 State Street</w:t>
            </w:r>
          </w:p>
        </w:tc>
      </w:tr>
      <w:tr>
        <w:trPr>
          <w:trHeight w:val="149"/>
        </w:trPr>
        <w:tc>
          <w:tcPr>
            <w:tcW w:w="276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Boston, Massachusetts 02109</w:t>
            </w:r>
          </w:p>
        </w:tc>
        <w:tc>
          <w:tcPr>
            <w:tcW w:w="38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(888) 482-7768</w:t>
            </w:r>
          </w:p>
        </w:tc>
        <w:tc>
          <w:tcPr>
            <w:tcW w:w="296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b w:val="1"/>
                <w:bCs w:val="1"/>
                <w:color w:val="auto"/>
              </w:rPr>
              <w:t>Boston, Massachusetts 02109</w:t>
            </w:r>
          </w:p>
        </w:tc>
      </w:tr>
      <w:tr>
        <w:trPr>
          <w:trHeight w:val="190"/>
        </w:trPr>
        <w:tc>
          <w:tcPr>
            <w:tcW w:w="276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(617) 570-1000</w:t>
            </w:r>
          </w:p>
        </w:tc>
        <w:tc>
          <w:tcPr>
            <w:tcW w:w="3880" w:type="dxa"/>
            <w:vAlign w:val="bottom"/>
          </w:tcPr>
          <w:p>
            <w:pPr>
              <w:spacing w:after="0"/>
              <w:rPr>
                <w:sz w:val="16"/>
                <w:szCs w:val="16"/>
                <w:color w:val="auto"/>
              </w:rPr>
            </w:pPr>
          </w:p>
        </w:tc>
        <w:tc>
          <w:tcPr>
            <w:tcW w:w="2960" w:type="dxa"/>
            <w:vAlign w:val="bottom"/>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(617) 526-6000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public: </w:t>
      </w:r>
      <w:r>
        <w:rPr>
          <w:rFonts w:ascii="Times New Roman" w:cs="Times New Roman" w:eastAsia="Times New Roman" w:hAnsi="Times New Roman"/>
          <w:sz w:val="14"/>
          <w:szCs w:val="14"/>
          <w:color w:val="auto"/>
        </w:rPr>
        <w:t>As soon as practicable after this Registration Statement is declared effective.</w:t>
      </w:r>
    </w:p>
    <w:p>
      <w:pPr>
        <w:spacing w:after="0" w:line="61" w:lineRule="exact"/>
        <w:rPr>
          <w:sz w:val="24"/>
          <w:szCs w:val="24"/>
          <w:color w:val="auto"/>
        </w:rPr>
      </w:pPr>
    </w:p>
    <w:p>
      <w:pPr>
        <w:ind w:left="360"/>
        <w:spacing w:after="0" w:line="161" w:lineRule="exact"/>
        <w:tabs>
          <w:tab w:leader="none" w:pos="11020" w:val="left"/>
        </w:tabs>
        <w:rPr>
          <w:sz w:val="20"/>
          <w:szCs w:val="20"/>
          <w:color w:val="auto"/>
        </w:rPr>
      </w:pPr>
      <w:r>
        <w:rPr>
          <w:rFonts w:ascii="Times New Roman" w:cs="Times New Roman" w:eastAsia="Times New Roman" w:hAnsi="Times New Roman"/>
          <w:sz w:val="14"/>
          <w:szCs w:val="14"/>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14"/>
          <w:szCs w:val="14"/>
          <w:color w:val="auto"/>
        </w:rPr>
        <w:t>☐</w:t>
      </w:r>
    </w:p>
    <w:p>
      <w:pPr>
        <w:spacing w:after="0" w:line="92" w:lineRule="exact"/>
        <w:rPr>
          <w:sz w:val="24"/>
          <w:szCs w:val="24"/>
          <w:color w:val="auto"/>
        </w:rPr>
      </w:pPr>
    </w:p>
    <w:p>
      <w:pPr>
        <w:ind w:right="1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40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right="3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180" w:firstLine="342"/>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2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0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9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gridSpan w:val="2"/>
          </w:tcPr>
          <w:p>
            <w:pPr>
              <w:jc w:val="right"/>
              <w:ind w:right="107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720" w:type="dxa"/>
            <w:vAlign w:val="bottom"/>
            <w:gridSpan w:val="2"/>
          </w:tcPr>
          <w:p>
            <w:pPr>
              <w:jc w:val="right"/>
              <w:ind w:right="708"/>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gridSpan w:val="2"/>
          </w:tcPr>
          <w:p>
            <w:pPr>
              <w:jc w:val="center"/>
              <w:ind w:left="728"/>
              <w:spacing w:after="0" w:line="149" w:lineRule="exact"/>
              <w:rPr>
                <w:sz w:val="20"/>
                <w:szCs w:val="20"/>
                <w:color w:val="auto"/>
              </w:rPr>
            </w:pPr>
            <w:r>
              <w:rPr>
                <w:rFonts w:ascii="Times New Roman" w:cs="Times New Roman" w:eastAsia="Times New Roman" w:hAnsi="Times New Roman"/>
                <w:sz w:val="14"/>
                <w:szCs w:val="14"/>
                <w:color w:val="auto"/>
              </w:rPr>
              <w:t>(Do not check if a</w:t>
            </w:r>
          </w:p>
        </w:tc>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4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820" w:type="dxa"/>
            <w:vAlign w:val="bottom"/>
          </w:tcPr>
          <w:p>
            <w:pPr>
              <w:jc w:val="center"/>
              <w:ind w:left="490"/>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480" w:type="dxa"/>
            <w:vAlign w:val="bottom"/>
            <w:tcBorders>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98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820" w:type="dxa"/>
            <w:vAlign w:val="bottom"/>
          </w:tcPr>
          <w:p>
            <w:pPr>
              <w:jc w:val="center"/>
              <w:ind w:left="51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80" w:type="dxa"/>
            <w:vAlign w:val="bottom"/>
            <w:tcBorders>
              <w:right w:val="single" w:sz="8" w:color="auto"/>
            </w:tcBorders>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820" w:type="dxa"/>
            <w:vAlign w:val="bottom"/>
          </w:tcPr>
          <w:p>
            <w:pPr>
              <w:jc w:val="center"/>
              <w:ind w:left="49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80" w:type="dxa"/>
            <w:vAlign w:val="bottom"/>
            <w:tcBorders>
              <w:right w:val="single" w:sz="8" w:color="auto"/>
            </w:tcBorders>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(1)</w:t>
            </w:r>
          </w:p>
        </w:tc>
        <w:tc>
          <w:tcPr>
            <w:tcW w:w="4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$0.001 par value</w:t>
            </w:r>
          </w:p>
        </w:tc>
        <w:tc>
          <w:tcPr>
            <w:tcW w:w="2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jc w:val="right"/>
              <w:ind w:right="7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tcBorders>
          </w:tcPr>
          <w:p>
            <w:pPr>
              <w:jc w:val="right"/>
              <w:ind w:right="1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520" w:hanging="332"/>
        <w:spacing w:after="0" w:line="226"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offering price of shares that the underwriters have the option to purchase to cover over-allotments, if any. Estimated solely for the purpose of calculating the registration fee in accordance with Rule 457(o) of the Securities Act of 1933, as amended.</w:t>
      </w: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pursuant to Rule 457(o) based on an estimate of the proposed maximum aggregate offering price.</w:t>
      </w:r>
    </w:p>
    <w:p>
      <w:pPr>
        <w:spacing w:after="0" w:line="51" w:lineRule="exact"/>
        <w:rPr>
          <w:sz w:val="24"/>
          <w:szCs w:val="24"/>
          <w:color w:val="auto"/>
        </w:rPr>
      </w:pPr>
    </w:p>
    <w:p>
      <w:pPr>
        <w:ind w:right="40" w:firstLine="342"/>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b w:val="1"/>
          <w:bCs w:val="1"/>
          <w:color w:val="DE1A1E"/>
        </w:rPr>
        <w:t>Exchange Commission is effective. This preliminary prospectus is not an offer to sell nor does it seek an offer to buy these securities in any jurisdiction where the offer or sale is not permitted.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DE1A1E"/>
        </w:rPr>
        <w:t>PROSPECTUS (Subject to Completion)</w:t>
      </w:r>
    </w:p>
    <w:p>
      <w:pPr>
        <w:spacing w:after="0" w:line="1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i w:val="1"/>
          <w:iCs w:val="1"/>
          <w:color w:val="DE1A1E"/>
        </w:rPr>
        <w:t>Issued</w:t>
      </w:r>
      <w:r>
        <w:rPr>
          <w:sz w:val="20"/>
          <w:szCs w:val="20"/>
          <w:color w:val="auto"/>
        </w:rPr>
        <w:tab/>
      </w:r>
      <w:r>
        <w:rPr>
          <w:rFonts w:ascii="Times New Roman" w:cs="Times New Roman" w:eastAsia="Times New Roman" w:hAnsi="Times New Roman"/>
          <w:sz w:val="22"/>
          <w:szCs w:val="22"/>
          <w:i w:val="1"/>
          <w:iCs w:val="1"/>
          <w:color w:val="DE1A1E"/>
        </w:rPr>
        <w:t>, 2014</w:t>
      </w: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104775</wp:posOffset>
            </wp:positionV>
            <wp:extent cx="131191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HubSpot, Inc. is offering</w:t>
            </w:r>
          </w:p>
        </w:tc>
        <w:tc>
          <w:tcPr>
            <w:tcW w:w="91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9"/>
              </w:rPr>
              <w:t>shares of our common stock. This is our initial public offering and no public market currently exists for our shares of</w:t>
            </w:r>
          </w:p>
        </w:tc>
      </w:tr>
      <w:tr>
        <w:trPr>
          <w:trHeight w:val="238"/>
        </w:trPr>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We anticipate that the initial public offering price of our common stock will be between $</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and $</w:t>
            </w:r>
          </w:p>
        </w:tc>
        <w:tc>
          <w:tcPr>
            <w:tcW w:w="2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per share.</w:t>
            </w:r>
          </w:p>
        </w:tc>
      </w:tr>
      <w:tr>
        <w:trPr>
          <w:trHeight w:val="351"/>
        </w:trPr>
        <w:tc>
          <w:tcPr>
            <w:tcW w:w="39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2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apply to list our common stock on</w:t>
            </w:r>
          </w:p>
        </w:tc>
        <w:tc>
          <w:tcPr>
            <w:tcW w:w="40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under the symbol “HUBS.”</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14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We are an “emerging growth company” under applicable federal securities laws and will be subject to reduced public company reporting requirements. Investing in our common stock involves risks. See “</w:t>
      </w:r>
      <w:hyperlink w:anchor="page17">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199390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2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21"/>
                <w:szCs w:val="21"/>
                <w:i w:val="1"/>
                <w:iCs w:val="1"/>
                <w:color w:val="auto"/>
              </w:rPr>
              <w:t>$</w:t>
            </w:r>
          </w:p>
        </w:tc>
        <w:tc>
          <w:tcPr>
            <w:tcW w:w="3620" w:type="dxa"/>
            <w:vAlign w:val="bottom"/>
            <w:gridSpan w:val="4"/>
          </w:tcPr>
          <w:p>
            <w:pPr>
              <w:ind w:left="260"/>
              <w:spacing w:after="0"/>
              <w:rPr>
                <w:sz w:val="20"/>
                <w:szCs w:val="20"/>
                <w:color w:val="auto"/>
              </w:rPr>
            </w:pPr>
            <w:r>
              <w:rPr>
                <w:rFonts w:ascii="Times New Roman" w:cs="Times New Roman" w:eastAsia="Times New Roman" w:hAnsi="Times New Roman"/>
                <w:sz w:val="18"/>
                <w:szCs w:val="18"/>
                <w:i w:val="1"/>
                <w:iCs w:val="1"/>
                <w:color w:val="auto"/>
              </w:rPr>
              <w:t>A SHARE</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5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w w:val="98"/>
              </w:rPr>
              <w:t>Price to</w:t>
            </w: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Discounts</w:t>
            </w:r>
          </w:p>
        </w:tc>
        <w:tc>
          <w:tcPr>
            <w:tcW w:w="172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4"/>
                <w:szCs w:val="14"/>
                <w:b w:val="1"/>
                <w:bCs w:val="1"/>
                <w:i w:val="1"/>
                <w:iCs w:val="1"/>
                <w:color w:val="auto"/>
                <w:w w:val="99"/>
              </w:rPr>
              <w:t>Proceeds to</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and</w:t>
            </w: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w:t>
            </w:r>
          </w:p>
        </w:tc>
        <w:tc>
          <w:tcPr>
            <w:tcW w:w="46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1180" w:type="dxa"/>
            <w:vAlign w:val="bottom"/>
          </w:tcPr>
          <w:p>
            <w:pPr>
              <w:spacing w:after="0"/>
              <w:rPr>
                <w:sz w:val="15"/>
                <w:szCs w:val="15"/>
                <w:color w:val="auto"/>
              </w:rPr>
            </w:pPr>
          </w:p>
        </w:tc>
        <w:tc>
          <w:tcPr>
            <w:tcW w:w="24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Commissions</w:t>
            </w:r>
            <w:r>
              <w:rPr>
                <w:rFonts w:ascii="Times New Roman" w:cs="Times New Roman" w:eastAsia="Times New Roman" w:hAnsi="Times New Roman"/>
                <w:sz w:val="12"/>
                <w:szCs w:val="12"/>
                <w:b w:val="1"/>
                <w:bCs w:val="1"/>
                <w:i w:val="1"/>
                <w:iCs w:val="1"/>
                <w:color w:val="auto"/>
              </w:rPr>
              <w:t>(1)</w:t>
            </w:r>
          </w:p>
        </w:tc>
        <w:tc>
          <w:tcPr>
            <w:tcW w:w="10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HubSpot</w:t>
            </w: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6"/>
                <w:szCs w:val="16"/>
                <w:color w:val="auto"/>
              </w:rPr>
            </w:pPr>
          </w:p>
        </w:tc>
        <w:tc>
          <w:tcPr>
            <w:tcW w:w="1720" w:type="dxa"/>
            <w:vAlign w:val="bottom"/>
            <w:gridSpan w:val="2"/>
          </w:tcPr>
          <w:p>
            <w:pPr>
              <w:spacing w:after="0"/>
              <w:rPr>
                <w:sz w:val="16"/>
                <w:szCs w:val="16"/>
                <w:color w:val="auto"/>
              </w:rPr>
            </w:pPr>
          </w:p>
        </w:tc>
        <w:tc>
          <w:tcPr>
            <w:tcW w:w="940" w:type="dxa"/>
            <w:vAlign w:val="bottom"/>
            <w:tcBorders>
              <w:top w:val="single" w:sz="8" w:color="auto"/>
            </w:tcBorders>
          </w:tcPr>
          <w:p>
            <w:pPr>
              <w:jc w:val="right"/>
              <w:ind w:right="164"/>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664"/>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spacing w:after="0"/>
              <w:rPr>
                <w:sz w:val="20"/>
                <w:szCs w:val="20"/>
                <w:color w:val="auto"/>
              </w:rPr>
            </w:pPr>
          </w:p>
        </w:tc>
        <w:tc>
          <w:tcPr>
            <w:tcW w:w="160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i w:val="1"/>
                <w:i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“Underwriters” beginning on page 118 for additional information regarding underwriting compensation.</w:t>
      </w:r>
    </w:p>
    <w:p>
      <w:pPr>
        <w:spacing w:after="0" w:line="198"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i w:val="1"/>
          <w:iCs w:val="1"/>
          <w:color w:val="auto"/>
        </w:rPr>
        <w:t>We have granted the underwriters the right to purchase up to an additional</w:t>
      </w:r>
      <w:r>
        <w:rPr>
          <w:sz w:val="20"/>
          <w:szCs w:val="20"/>
          <w:color w:val="auto"/>
        </w:rPr>
        <w:tab/>
      </w:r>
      <w:r>
        <w:rPr>
          <w:rFonts w:ascii="Times New Roman" w:cs="Times New Roman" w:eastAsia="Times New Roman" w:hAnsi="Times New Roman"/>
          <w:sz w:val="17"/>
          <w:szCs w:val="17"/>
          <w:i w:val="1"/>
          <w:iCs w:val="1"/>
          <w:color w:val="auto"/>
        </w:rPr>
        <w:t>shares of common stock to cover over-allotments.</w:t>
      </w:r>
    </w:p>
    <w:p>
      <w:pPr>
        <w:spacing w:after="0" w:line="225"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The Securities and Exchange Commission and any state securities regulators have not approved or disapproved these securities, or determined if this prospectus is truthful or complete. Any representation to the contrary is a criminal offense.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to purchasers 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2014.</w:t>
            </w:r>
          </w:p>
        </w:tc>
      </w:tr>
      <w:tr>
        <w:trPr>
          <w:trHeight w:val="351"/>
        </w:trPr>
        <w:tc>
          <w:tcPr>
            <w:tcW w:w="45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4000" w:val="left"/>
          <w:tab w:leader="none" w:pos="8860" w:val="left"/>
        </w:tabs>
        <w:rPr>
          <w:sz w:val="20"/>
          <w:szCs w:val="20"/>
          <w:color w:val="auto"/>
        </w:rPr>
      </w:pPr>
      <w:r>
        <w:rPr>
          <w:rFonts w:ascii="Times New Roman" w:cs="Times New Roman" w:eastAsia="Times New Roman" w:hAnsi="Times New Roman"/>
          <w:sz w:val="23"/>
          <w:szCs w:val="23"/>
          <w:i w:val="1"/>
          <w:iCs w:val="1"/>
          <w:color w:val="auto"/>
        </w:rPr>
        <w:t>MORGAN STANLEY</w:t>
      </w:r>
      <w:r>
        <w:rPr>
          <w:sz w:val="20"/>
          <w:szCs w:val="20"/>
          <w:color w:val="auto"/>
        </w:rPr>
        <w:tab/>
      </w:r>
      <w:r>
        <w:rPr>
          <w:rFonts w:ascii="Times New Roman" w:cs="Times New Roman" w:eastAsia="Times New Roman" w:hAnsi="Times New Roman"/>
          <w:sz w:val="23"/>
          <w:szCs w:val="23"/>
          <w:i w:val="1"/>
          <w:iCs w:val="1"/>
          <w:color w:val="auto"/>
        </w:rPr>
        <w:t>J.P. MORGAN</w:t>
      </w:r>
      <w:r>
        <w:rPr>
          <w:sz w:val="20"/>
          <w:szCs w:val="20"/>
          <w:color w:val="auto"/>
        </w:rPr>
        <w:tab/>
      </w:r>
      <w:r>
        <w:rPr>
          <w:rFonts w:ascii="Times New Roman" w:cs="Times New Roman" w:eastAsia="Times New Roman" w:hAnsi="Times New Roman"/>
          <w:sz w:val="23"/>
          <w:szCs w:val="23"/>
          <w:i w:val="1"/>
          <w:iCs w:val="1"/>
          <w:color w:val="auto"/>
        </w:rPr>
        <w:t>UBS INVESTMENT BANK</w:t>
      </w:r>
    </w:p>
    <w:p>
      <w:pPr>
        <w:spacing w:after="0" w:line="200" w:lineRule="exact"/>
        <w:rPr>
          <w:sz w:val="20"/>
          <w:szCs w:val="20"/>
          <w:color w:val="auto"/>
        </w:rPr>
      </w:pPr>
    </w:p>
    <w:p>
      <w:pPr>
        <w:spacing w:after="0" w:line="321" w:lineRule="exact"/>
        <w:rPr>
          <w:sz w:val="20"/>
          <w:szCs w:val="20"/>
          <w:color w:val="auto"/>
        </w:rPr>
      </w:pPr>
    </w:p>
    <w:p>
      <w:pPr>
        <w:spacing w:after="0"/>
        <w:tabs>
          <w:tab w:leader="none" w:pos="5520" w:val="left"/>
          <w:tab w:leader="none" w:pos="9980" w:val="left"/>
        </w:tabs>
        <w:rPr>
          <w:sz w:val="20"/>
          <w:szCs w:val="20"/>
          <w:color w:val="auto"/>
        </w:rPr>
      </w:pPr>
      <w:r>
        <w:rPr>
          <w:rFonts w:ascii="Times New Roman" w:cs="Times New Roman" w:eastAsia="Times New Roman" w:hAnsi="Times New Roman"/>
          <w:sz w:val="18"/>
          <w:szCs w:val="18"/>
          <w:i w:val="1"/>
          <w:iCs w:val="1"/>
          <w:color w:val="auto"/>
        </w:rPr>
        <w:t>PACIFIC CREST SECURITIES</w:t>
      </w:r>
      <w:r>
        <w:rPr>
          <w:sz w:val="20"/>
          <w:szCs w:val="20"/>
          <w:color w:val="auto"/>
        </w:rPr>
        <w:tab/>
      </w:r>
      <w:r>
        <w:rPr>
          <w:rFonts w:ascii="Times New Roman" w:cs="Times New Roman" w:eastAsia="Times New Roman" w:hAnsi="Times New Roman"/>
          <w:sz w:val="18"/>
          <w:szCs w:val="18"/>
          <w:i w:val="1"/>
          <w:iCs w:val="1"/>
          <w:color w:val="auto"/>
        </w:rPr>
        <w:t>CANACCORD GENUITY</w:t>
      </w:r>
      <w:r>
        <w:rPr>
          <w:sz w:val="20"/>
          <w:szCs w:val="20"/>
          <w:color w:val="auto"/>
        </w:rPr>
        <w:tab/>
      </w:r>
      <w:r>
        <w:rPr>
          <w:rFonts w:ascii="Times New Roman" w:cs="Times New Roman" w:eastAsia="Times New Roman" w:hAnsi="Times New Roman"/>
          <w:sz w:val="17"/>
          <w:szCs w:val="17"/>
          <w:i w:val="1"/>
          <w:iCs w:val="1"/>
          <w:color w:val="auto"/>
        </w:rPr>
        <w:t>RAYMOND JAMES</w:t>
      </w:r>
    </w:p>
    <w:p>
      <w:pPr>
        <w:sectPr>
          <w:pgSz w:w="11900" w:h="16838" w:orient="portrait"/>
          <w:cols w:equalWidth="0" w:num="1">
            <w:col w:w="11420"/>
          </w:cols>
          <w:pgMar w:left="240" w:top="455" w:right="239" w:bottom="1440" w:gutter="0" w:footer="0" w:header="0"/>
        </w:sectPr>
      </w:pP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2014</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215265</wp:posOffset>
            </wp:positionV>
            <wp:extent cx="543687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6870" cy="75469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215265</wp:posOffset>
            </wp:positionV>
            <wp:extent cx="543687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36870" cy="75469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215265</wp:posOffset>
            </wp:positionV>
            <wp:extent cx="5445760" cy="7203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5760" cy="720344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060" w:type="dxa"/>
            <w:vAlign w:val="bottom"/>
            <w:gridSpan w:val="14"/>
            <w:vMerge w:val="restart"/>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Prospectus summary</w:t>
              </w:r>
            </w:hyperlink>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5260" w:type="dxa"/>
            <w:vAlign w:val="bottom"/>
            <w:gridSpan w:val="12"/>
            <w:vMerge w:val="restart"/>
          </w:tcPr>
          <w:p>
            <w:pPr>
              <w:ind w:left="20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Business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5060" w:type="dxa"/>
            <w:vAlign w:val="bottom"/>
            <w:gridSpan w:val="14"/>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260" w:type="dxa"/>
            <w:vAlign w:val="bottom"/>
            <w:gridSpan w:val="12"/>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Times New Roman" w:cs="Times New Roman" w:eastAsia="Times New Roman" w:hAnsi="Times New Roman"/>
                <w:sz w:val="18"/>
                <w:szCs w:val="18"/>
                <w:color w:val="0000EE"/>
                <w:w w:val="95"/>
              </w:rPr>
            </w:pPr>
            <w:hyperlink w:anchor="page13">
              <w:r>
                <w:rPr>
                  <w:rFonts w:ascii="Times New Roman" w:cs="Times New Roman" w:eastAsia="Times New Roman" w:hAnsi="Times New Roman"/>
                  <w:sz w:val="18"/>
                  <w:szCs w:val="18"/>
                  <w:color w:val="0000EE"/>
                  <w:w w:val="95"/>
                </w:rPr>
                <w:t>The offering</w:t>
              </w:r>
            </w:hyperlink>
          </w:p>
        </w:tc>
        <w:tc>
          <w:tcPr>
            <w:tcW w:w="58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Management</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8"/>
          </w:tcPr>
          <w:p>
            <w:pPr>
              <w:spacing w:after="0" w:line="196"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Summary financial data</w:t>
              </w:r>
            </w:hyperlink>
          </w:p>
        </w:tc>
        <w:tc>
          <w:tcPr>
            <w:tcW w:w="3340" w:type="dxa"/>
            <w:vAlign w:val="bottom"/>
            <w:gridSpan w:val="6"/>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Risk factors</w:t>
              </w:r>
            </w:hyperlink>
          </w:p>
        </w:tc>
        <w:tc>
          <w:tcPr>
            <w:tcW w:w="820" w:type="dxa"/>
            <w:vAlign w:val="bottom"/>
            <w:gridSpan w:val="5"/>
          </w:tcPr>
          <w:p>
            <w:pPr>
              <w:spacing w:after="0"/>
              <w:rPr>
                <w:sz w:val="17"/>
                <w:szCs w:val="17"/>
                <w:color w:val="auto"/>
              </w:rPr>
            </w:pPr>
          </w:p>
        </w:tc>
        <w:tc>
          <w:tcPr>
            <w:tcW w:w="3340" w:type="dxa"/>
            <w:vAlign w:val="bottom"/>
            <w:gridSpan w:val="6"/>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Certain relationships and related party transactions</w:t>
              </w:r>
            </w:hyperlink>
          </w:p>
        </w:tc>
        <w:tc>
          <w:tcPr>
            <w:tcW w:w="14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Special note regarding forward-looking statements</w:t>
              </w:r>
            </w:hyperlink>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5260" w:type="dxa"/>
            <w:vAlign w:val="bottom"/>
            <w:gridSpan w:val="12"/>
          </w:tcPr>
          <w:p>
            <w:pPr>
              <w:ind w:left="200"/>
              <w:spacing w:after="0" w:line="19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gridSpan w:val="9"/>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Market, industry and other data</w:t>
              </w:r>
            </w:hyperlink>
          </w:p>
        </w:tc>
        <w:tc>
          <w:tcPr>
            <w:tcW w:w="1380" w:type="dxa"/>
            <w:vAlign w:val="bottom"/>
            <w:gridSpan w:val="2"/>
          </w:tcPr>
          <w:p>
            <w:pPr>
              <w:spacing w:after="0"/>
              <w:rPr>
                <w:sz w:val="17"/>
                <w:szCs w:val="17"/>
                <w:color w:val="auto"/>
              </w:rPr>
            </w:pPr>
          </w:p>
        </w:tc>
        <w:tc>
          <w:tcPr>
            <w:tcW w:w="1420" w:type="dxa"/>
            <w:vAlign w:val="bottom"/>
            <w:gridSpan w:val="3"/>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Use of proceeds</w:t>
              </w:r>
            </w:hyperlink>
          </w:p>
        </w:tc>
        <w:tc>
          <w:tcPr>
            <w:tcW w:w="1100" w:type="dxa"/>
            <w:vAlign w:val="bottom"/>
            <w:gridSpan w:val="4"/>
          </w:tcPr>
          <w:p>
            <w:pPr>
              <w:spacing w:after="0"/>
              <w:rPr>
                <w:sz w:val="17"/>
                <w:szCs w:val="17"/>
                <w:color w:val="auto"/>
              </w:rPr>
            </w:pPr>
          </w:p>
        </w:tc>
        <w:tc>
          <w:tcPr>
            <w:tcW w:w="2800" w:type="dxa"/>
            <w:vAlign w:val="bottom"/>
            <w:gridSpan w:val="5"/>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Dividend policy</w:t>
              </w:r>
            </w:hyperlink>
          </w:p>
        </w:tc>
        <w:tc>
          <w:tcPr>
            <w:tcW w:w="3900" w:type="dxa"/>
            <w:vAlign w:val="bottom"/>
            <w:gridSpan w:val="9"/>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7"/>
                <w:szCs w:val="17"/>
                <w:color w:val="auto"/>
              </w:rPr>
            </w:pPr>
          </w:p>
        </w:tc>
        <w:tc>
          <w:tcPr>
            <w:tcW w:w="3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Certain material U.S. federal income tax consequences</w:t>
              </w:r>
            </w:hyperlink>
          </w:p>
        </w:tc>
        <w:tc>
          <w:tcPr>
            <w:tcW w:w="11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Capitalization</w:t>
              </w:r>
            </w:hyperlink>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5260" w:type="dxa"/>
            <w:vAlign w:val="bottom"/>
            <w:gridSpan w:val="12"/>
          </w:tcPr>
          <w:p>
            <w:pPr>
              <w:ind w:left="200"/>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Dilution</w:t>
              </w:r>
            </w:hyperlink>
          </w:p>
        </w:tc>
        <w:tc>
          <w:tcPr>
            <w:tcW w:w="400" w:type="dxa"/>
            <w:vAlign w:val="bottom"/>
            <w:gridSpan w:val="2"/>
          </w:tcPr>
          <w:p>
            <w:pPr>
              <w:spacing w:after="0"/>
              <w:rPr>
                <w:sz w:val="17"/>
                <w:szCs w:val="17"/>
                <w:color w:val="auto"/>
              </w:rPr>
            </w:pPr>
          </w:p>
        </w:tc>
        <w:tc>
          <w:tcPr>
            <w:tcW w:w="4060" w:type="dxa"/>
            <w:vAlign w:val="bottom"/>
            <w:gridSpan w:val="10"/>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Selected consolidated financial data</w:t>
              </w:r>
            </w:hyperlink>
          </w:p>
        </w:tc>
        <w:tc>
          <w:tcPr>
            <w:tcW w:w="2480" w:type="dxa"/>
            <w:vAlign w:val="bottom"/>
            <w:gridSpan w:val="4"/>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Experts</w:t>
              </w:r>
            </w:hyperlink>
          </w:p>
        </w:tc>
        <w:tc>
          <w:tcPr>
            <w:tcW w:w="45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4680" w:type="dxa"/>
            <w:vAlign w:val="bottom"/>
            <w:gridSpan w:val="13"/>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Management’s discussion and analysis of financial condition and</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Additional information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results of operations</w:t>
              </w:r>
            </w:hyperlink>
          </w:p>
        </w:tc>
        <w:tc>
          <w:tcPr>
            <w:tcW w:w="304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w:anchor="page137">
              <w:r>
                <w:rPr>
                  <w:rFonts w:ascii="Times New Roman" w:cs="Times New Roman" w:eastAsia="Times New Roman" w:hAnsi="Times New Roman"/>
                  <w:sz w:val="18"/>
                  <w:szCs w:val="18"/>
                  <w:color w:val="0000EE"/>
                  <w:w w:val="99"/>
                </w:rPr>
                <w:t>Index to consolidated financial statements</w:t>
              </w:r>
            </w:hyperlink>
          </w:p>
        </w:tc>
        <w:tc>
          <w:tcPr>
            <w:tcW w:w="2020" w:type="dxa"/>
            <w:vAlign w:val="bottom"/>
            <w:gridSpan w:val="3"/>
          </w:tcPr>
          <w:p>
            <w:pPr>
              <w:spacing w:after="0"/>
              <w:rPr>
                <w:sz w:val="17"/>
                <w:szCs w:val="17"/>
                <w:color w:val="auto"/>
              </w:rPr>
            </w:pPr>
          </w:p>
        </w:tc>
        <w:tc>
          <w:tcPr>
            <w:tcW w:w="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Founders’ letter from Brian Halligan and Dharmesh Shah</w:t>
              </w:r>
            </w:hyperlink>
          </w:p>
        </w:tc>
        <w:tc>
          <w:tcPr>
            <w:tcW w:w="920" w:type="dxa"/>
            <w:vAlign w:val="bottom"/>
            <w:gridSpan w:val="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360045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contained in any free writing prospectus filed with the Securities and Exchange Commission. Neither we nor any of the underwriters have authorized anyone to provide any information or make any representations other than those contained in this prospectus or in any free writing prospectus filed with the Securities and Exchange Commission. We take no responsibility for, and can provide no assurance as to the reliability of, any other information that others may give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 results of operations and prospects may have changed since such date.</w:t>
      </w:r>
    </w:p>
    <w:p>
      <w:pPr>
        <w:spacing w:after="0" w:line="18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Through and including , 2014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ectPr>
          <w:pgSz w:w="11900" w:h="16838" w:orient="portrait"/>
          <w:cols w:equalWidth="0" w:num="1">
            <w:col w:w="11360"/>
          </w:cols>
          <w:pgMar w:left="240" w:top="455" w:right="2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93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2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“HubSpot” “the Company,” “we,” and “our” in this prospectus refer to HubSpot, Inc. and its consolidated subsidiary.</w:t>
      </w: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40" w:firstLine="443"/>
        <w:spacing w:after="0" w:line="277" w:lineRule="auto"/>
        <w:rPr>
          <w:sz w:val="20"/>
          <w:szCs w:val="20"/>
          <w:color w:val="auto"/>
        </w:rPr>
      </w:pPr>
      <w:r>
        <w:rPr>
          <w:rFonts w:ascii="Times New Roman" w:cs="Times New Roman" w:eastAsia="Times New Roman" w:hAnsi="Times New Roman"/>
          <w:sz w:val="17"/>
          <w:szCs w:val="17"/>
          <w:color w:val="auto"/>
        </w:rPr>
        <w:t>We provide a cloud-based marketing and sales software platform that enables businesses to deliver an inbound experience. An inbound marketing and sales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68"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People have transformed how they consume information, research products and services, make purchasing decisions and share their views and experiences. Today, customers are blocking out the tactics from the traditional marketing and sales playbook, such as cold calls, unsolicited emails and disruptive advertisements. Customers are taking more control of the purchasing process, including by using search engines and social media to research products and services. Despite this transformation, most businesses are using an outdated marketing and sales playbook that is essentially the same today as it was 10 years ago. To compete effectively, we believe businesses need to deliver an inbound experience by adopting new strategies and technologies to attract, engage and delight customers.</w:t>
      </w:r>
    </w:p>
    <w:p>
      <w:pPr>
        <w:spacing w:after="0" w:line="188" w:lineRule="exact"/>
        <w:rPr>
          <w:sz w:val="20"/>
          <w:szCs w:val="20"/>
          <w:color w:val="auto"/>
        </w:rPr>
      </w:pPr>
    </w:p>
    <w:p>
      <w:pPr>
        <w:ind w:left="200" w:right="160" w:firstLine="443"/>
        <w:spacing w:after="0" w:line="256" w:lineRule="auto"/>
        <w:rPr>
          <w:sz w:val="20"/>
          <w:szCs w:val="20"/>
          <w:color w:val="auto"/>
        </w:rPr>
      </w:pPr>
      <w:r>
        <w:rPr>
          <w:rFonts w:ascii="Times New Roman" w:cs="Times New Roman" w:eastAsia="Times New Roman" w:hAnsi="Times New Roman"/>
          <w:sz w:val="18"/>
          <w:szCs w:val="18"/>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lifecycle. Our platform uses our centralized inbound database to empower businesses to create more personalized interactions with customers, such as personalized social media alerts, personalized websites, personalized emails and targeted alerts for sales people. We provide a comprehensive set of integrated applications on our platform, which offers businesses ease of use, power and simplicity. We designed and built our platform to serve a large number of customers of any size and with demanding use cases.</w:t>
      </w:r>
    </w:p>
    <w:p>
      <w:pPr>
        <w:spacing w:after="0" w:line="188"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marketing agency partners worldwide. Our platform is particularly suited to serving the needs of mid-market business-to-business (B2B) companies. Mid-market businesses seek an integrated, easy to implement and easy to use solution to reach customers and compete with organizations that have larger marketing and sales budgets. As of March 31, 2014, we had approximately 11,000 customers of varying sizes in more than 70 countries, representing almost every industry.</w:t>
      </w:r>
    </w:p>
    <w:p>
      <w:pPr>
        <w:spacing w:after="0" w:line="188" w:lineRule="exact"/>
        <w:rPr>
          <w:sz w:val="20"/>
          <w:szCs w:val="20"/>
          <w:color w:val="auto"/>
        </w:rPr>
      </w:pPr>
    </w:p>
    <w:p>
      <w:pPr>
        <w:ind w:left="200" w:right="580" w:firstLine="443"/>
        <w:spacing w:after="0" w:line="282" w:lineRule="auto"/>
        <w:rPr>
          <w:sz w:val="20"/>
          <w:szCs w:val="20"/>
          <w:color w:val="auto"/>
        </w:rPr>
      </w:pPr>
      <w:r>
        <w:rPr>
          <w:rFonts w:ascii="Times New Roman" w:cs="Times New Roman" w:eastAsia="Times New Roman" w:hAnsi="Times New Roman"/>
          <w:sz w:val="18"/>
          <w:szCs w:val="18"/>
          <w:color w:val="auto"/>
        </w:rPr>
        <w:t>We have a leading brand in the cloud-based inbound marketing and sales software industry. Our brand recognition comes from our thought leadership, including our blog, which attracts approximately 1.4 million</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556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0" w:right="20"/>
        <w:spacing w:after="0" w:line="267" w:lineRule="auto"/>
        <w:rPr>
          <w:sz w:val="20"/>
          <w:szCs w:val="20"/>
          <w:color w:val="auto"/>
        </w:rPr>
      </w:pPr>
      <w:r>
        <w:rPr>
          <w:rFonts w:ascii="Times New Roman" w:cs="Times New Roman" w:eastAsia="Times New Roman" w:hAnsi="Times New Roman"/>
          <w:sz w:val="18"/>
          <w:szCs w:val="18"/>
          <w:color w:val="auto"/>
        </w:rPr>
        <w:t xml:space="preserve">visits each month, and our commitment to innovation. Our founders, Brian Halligan and Dharmesh Shah, wrote the best-selling marketing book </w:t>
      </w:r>
      <w:r>
        <w:rPr>
          <w:rFonts w:ascii="Times New Roman" w:cs="Times New Roman" w:eastAsia="Times New Roman" w:hAnsi="Times New Roman"/>
          <w:sz w:val="18"/>
          <w:szCs w:val="18"/>
          <w:i w:val="1"/>
          <w:iCs w:val="1"/>
          <w:color w:val="auto"/>
        </w:rPr>
        <w:t>Inbound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Marketing: Get Found Using Google, Social Media and Blogs</w:t>
      </w:r>
      <w:r>
        <w:rPr>
          <w:rFonts w:ascii="Times New Roman" w:cs="Times New Roman" w:eastAsia="Times New Roman" w:hAnsi="Times New Roman"/>
          <w:sz w:val="18"/>
          <w:szCs w:val="18"/>
          <w:color w:val="auto"/>
        </w:rPr>
        <w:t>. We also have one of the largest social media followings in our industry,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INBOUND conference is one of the largest inbound industry conference events.</w:t>
      </w:r>
    </w:p>
    <w:p>
      <w:pPr>
        <w:spacing w:after="0" w:line="176" w:lineRule="exact"/>
        <w:rPr>
          <w:sz w:val="20"/>
          <w:szCs w:val="20"/>
          <w:color w:val="auto"/>
        </w:rPr>
      </w:pPr>
    </w:p>
    <w:p>
      <w:pPr>
        <w:ind w:left="200" w:right="20" w:firstLine="443"/>
        <w:spacing w:after="0" w:line="258" w:lineRule="auto"/>
        <w:rPr>
          <w:sz w:val="20"/>
          <w:szCs w:val="20"/>
          <w:color w:val="auto"/>
        </w:rPr>
      </w:pPr>
      <w:r>
        <w:rPr>
          <w:rFonts w:ascii="Times New Roman" w:cs="Times New Roman" w:eastAsia="Times New Roman" w:hAnsi="Times New Roman"/>
          <w:sz w:val="18"/>
          <w:szCs w:val="18"/>
          <w:color w:val="auto"/>
        </w:rPr>
        <w:t>We sell our platform on a subscription basis. Our total revenue increased from $28.6 million in 2011, to $51.6 million in 2012 and to $77.6 million in 2013, representing year-over-year increases of 81% in 2012 and 50% in 2013. Our total revenue increased from $16.7 million for the three months ended March 31, 2013 to $24.2 million for the three months ended March 31, 2014, representing a quarter-over-quarter increase of 44%. We had net losses of $24.4 million in 2011, $18.8 million in 2012, $34.3 million in 2013 and $7.5 million and $9.5 million for the three months ended March 31, 2013 and 2014, respectively.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Industry Background and Our Market Opportunity</w:t>
      </w:r>
    </w:p>
    <w:p>
      <w:pPr>
        <w:spacing w:after="0" w:line="121" w:lineRule="exact"/>
        <w:rPr>
          <w:sz w:val="20"/>
          <w:szCs w:val="20"/>
          <w:color w:val="auto"/>
        </w:rPr>
      </w:pPr>
    </w:p>
    <w:p>
      <w:pPr>
        <w:ind w:left="200" w:right="140" w:firstLine="443"/>
        <w:spacing w:after="0" w:line="261" w:lineRule="auto"/>
        <w:rPr>
          <w:sz w:val="20"/>
          <w:szCs w:val="20"/>
          <w:color w:val="auto"/>
        </w:rPr>
      </w:pPr>
      <w:r>
        <w:rPr>
          <w:rFonts w:ascii="Times New Roman" w:cs="Times New Roman" w:eastAsia="Times New Roman" w:hAnsi="Times New Roman"/>
          <w:sz w:val="18"/>
          <w:szCs w:val="18"/>
          <w:color w:val="auto"/>
        </w:rPr>
        <w:t>Traditionally, most businesses have followed the same marketing and sales playbook to generate leads, close sales and provide support to their customers as they did 10 years ago. Businesses need a more effective way to attract, engage and delight customers who have access to an abundance of information and an ability to block traditional marketing and sales tactics. Businesses need to deliver an inbound experience, which enables them to be less interruptive, more helpful and more relevant to their customers.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deliver an inbound experience, businesses need to transform how they market, sell and serve customers.</w:t>
      </w:r>
    </w:p>
    <w:p>
      <w:pPr>
        <w:spacing w:after="0" w:line="129" w:lineRule="exact"/>
        <w:rPr>
          <w:sz w:val="20"/>
          <w:szCs w:val="20"/>
          <w:color w:val="auto"/>
        </w:rPr>
      </w:pPr>
    </w:p>
    <w:p>
      <w:pPr>
        <w:ind w:left="1060" w:right="60" w:hanging="431"/>
        <w:spacing w:after="0" w:line="26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Businesses need to attract potential customers by maximizing search engine rankings, having an engaging social media presence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creating and distributing useful and relevant content. Businesses need to personalize their customer interactions on websites, in social media and in emails to engage customers.</w:t>
      </w:r>
    </w:p>
    <w:p>
      <w:pPr>
        <w:spacing w:after="0" w:line="78" w:lineRule="exact"/>
        <w:rPr>
          <w:rFonts w:ascii="Times New Roman" w:cs="Times New Roman" w:eastAsia="Times New Roman" w:hAnsi="Times New Roman"/>
          <w:sz w:val="18"/>
          <w:szCs w:val="18"/>
          <w:color w:val="auto"/>
        </w:rPr>
      </w:pPr>
    </w:p>
    <w:p>
      <w:pPr>
        <w:ind w:left="1060" w:right="60" w:hanging="431"/>
        <w:spacing w:after="0" w:line="284"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Businesses need to build relationships with potential customers and become their trusted advisors. They must learn about and react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signals being sent by customers through websites, social media and emails, to provide personalized and helpful responses.</w:t>
      </w:r>
    </w:p>
    <w:p>
      <w:pPr>
        <w:spacing w:after="0" w:line="63" w:lineRule="exact"/>
        <w:rPr>
          <w:rFonts w:ascii="Times New Roman" w:cs="Times New Roman" w:eastAsia="Times New Roman" w:hAnsi="Times New Roman"/>
          <w:sz w:val="18"/>
          <w:szCs w:val="18"/>
          <w:color w:val="auto"/>
        </w:rPr>
      </w:pPr>
    </w:p>
    <w:p>
      <w:pPr>
        <w:ind w:left="1060" w:right="380" w:hanging="431"/>
        <w:spacing w:after="0" w:line="26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Businesses need to delight their customers and inspire them to become vocal promoters by exceeding their expectations.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has a stronger, more public voice today through blogs and social media, underscoring the importance of positive reviews and referrals in building a quality brand.</w:t>
      </w:r>
    </w:p>
    <w:p>
      <w:pPr>
        <w:spacing w:after="0" w:line="176"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We believe there is a large market opportunity created by the fundamental transformation in marketing and sales. Businesses of nearly all sizes and in nearly all industries can benefit from delivering an inbound experience to attract, engage and delight their customers. We focus on selling our platform to mid-market businesses, which we define as businesses that have between 10 and 2,000 employees. As of March 31, 2014, we had 10,902 customers, and in the first quarter of 2014, our average subscription revenue per customer was $8,484. According to AMI Partners, in 2013, there were 1.6 million of these mid-market businesses with a website presence in the United States and Canada and 1.3 million in Europe. According to a January 2014 study by Mintigo of 186,500 U.S.-based B2B companies of varying sizes, only 3% of those companies had implemented any of the most common marketing automation applications.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Existing Applications are Not Adequate for an Integrated Inbound Experience</w:t>
      </w:r>
    </w:p>
    <w:p>
      <w:pPr>
        <w:spacing w:after="0" w:line="117" w:lineRule="exact"/>
        <w:rPr>
          <w:sz w:val="20"/>
          <w:szCs w:val="20"/>
          <w:color w:val="auto"/>
        </w:rPr>
      </w:pPr>
    </w:p>
    <w:p>
      <w:pPr>
        <w:ind w:left="200" w:right="10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 Designed for an Inbound Experience. </w:t>
      </w:r>
      <w:r>
        <w:rPr>
          <w:rFonts w:ascii="Times New Roman" w:cs="Times New Roman" w:eastAsia="Times New Roman" w:hAnsi="Times New Roman"/>
          <w:sz w:val="18"/>
          <w:szCs w:val="18"/>
          <w:color w:val="auto"/>
        </w:rPr>
        <w:t>Traditional marketing applications rely on advertising and cold calling for lead generation instead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inbound methods. These applications are not designed to personalize and optimize every interaction with customers on websites, in social media and by email across devices, and do not typically allow sales and service teams to see the signals their prospects are sending in real time.</w:t>
      </w: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410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right="120" w:firstLine="44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Centralized Inbound Database of Customer Interactions. </w:t>
      </w:r>
      <w:r>
        <w:rPr>
          <w:rFonts w:ascii="Times New Roman" w:cs="Times New Roman" w:eastAsia="Times New Roman" w:hAnsi="Times New Roman"/>
          <w:sz w:val="18"/>
          <w:szCs w:val="18"/>
          <w:color w:val="auto"/>
        </w:rPr>
        <w:t>Businesses typically need to use one point application for website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 different point application for blogging, another point application for social media management, another point application for email and marketing automation, another point application for content personalization, another point application for analytics, another point application for sales management and CRM and yet another point application to alert salespeople of key customer signals in real time. This disparate collection of point applications makes it difficult to develop a 360-degree view of a customer’s interactions.</w:t>
      </w:r>
    </w:p>
    <w:p>
      <w:pPr>
        <w:spacing w:after="0" w:line="180" w:lineRule="exact"/>
        <w:rPr>
          <w:sz w:val="20"/>
          <w:szCs w:val="20"/>
          <w:color w:val="auto"/>
        </w:rPr>
      </w:pPr>
    </w:p>
    <w:p>
      <w:pPr>
        <w:ind w:left="200" w:right="160" w:firstLine="4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Difficult and Expensive to Implement and Use. </w:t>
      </w:r>
      <w:r>
        <w:rPr>
          <w:rFonts w:ascii="Times New Roman" w:cs="Times New Roman" w:eastAsia="Times New Roman" w:hAnsi="Times New Roman"/>
          <w:sz w:val="18"/>
          <w:szCs w:val="18"/>
          <w:color w:val="auto"/>
        </w:rPr>
        <w:t>Using a collection of disparate point applications means a separate implementation process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resulting in significant additional costs. Often businesses will need to use outside consultants or hire new employees with specific technical expertise to implement and use these different applications. This collection of applications also requires businesses to use a variety of different log-ins, user interfaces and support centers.</w:t>
      </w:r>
    </w:p>
    <w:p>
      <w:pPr>
        <w:spacing w:after="0" w:line="177" w:lineRule="exact"/>
        <w:rPr>
          <w:sz w:val="20"/>
          <w:szCs w:val="20"/>
          <w:color w:val="auto"/>
        </w:rPr>
      </w:pPr>
    </w:p>
    <w:p>
      <w:pPr>
        <w:jc w:val="both"/>
        <w:ind w:left="20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 to Measure Results. </w:t>
      </w:r>
      <w:r>
        <w:rPr>
          <w:rFonts w:ascii="Times New Roman" w:cs="Times New Roman" w:eastAsia="Times New Roman" w:hAnsi="Times New Roman"/>
          <w:sz w:val="18"/>
          <w:szCs w:val="18"/>
          <w:color w:val="auto"/>
        </w:rPr>
        <w:t>Because all the customer touchpoints through the marketing, sales and service processes are typically stored in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disconnected point applications, it is very difficult to get a 360-degree view of a customer’s interactions and measure the effectiveness of marketing and sales programs.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Advantages of Our Solution</w:t>
      </w:r>
    </w:p>
    <w:p>
      <w:pPr>
        <w:spacing w:after="0" w:line="117" w:lineRule="exact"/>
        <w:rPr>
          <w:sz w:val="20"/>
          <w:szCs w:val="20"/>
          <w:color w:val="auto"/>
        </w:rPr>
      </w:pPr>
    </w:p>
    <w:p>
      <w:pPr>
        <w:ind w:left="200" w:right="40" w:firstLine="4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Designed for an Inbound Experience. </w:t>
      </w:r>
      <w:r>
        <w:rPr>
          <w:rFonts w:ascii="Times New Roman" w:cs="Times New Roman" w:eastAsia="Times New Roman" w:hAnsi="Times New Roman"/>
          <w:sz w:val="18"/>
          <w:szCs w:val="18"/>
          <w:color w:val="auto"/>
        </w:rPr>
        <w:t>Our platform was architected from the ground up to enable businesses to transform their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playbook to meet today’s demands of their customers. Our platform includes integrated applications to help businesses efficiently attract more customers through search engine optimization, social media, blogging and other useful content while optimizing interactions with their customers across customer touchpoints.</w:t>
      </w:r>
    </w:p>
    <w:p>
      <w:pPr>
        <w:spacing w:after="0" w:line="177" w:lineRule="exact"/>
        <w:rPr>
          <w:sz w:val="20"/>
          <w:szCs w:val="20"/>
          <w:color w:val="auto"/>
        </w:rPr>
      </w:pPr>
    </w:p>
    <w:p>
      <w:pPr>
        <w:ind w:left="20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Ease of Use of All-In-One Platform. </w:t>
      </w:r>
      <w:r>
        <w:rPr>
          <w:rFonts w:ascii="Times New Roman" w:cs="Times New Roman" w:eastAsia="Times New Roman" w:hAnsi="Times New Roman"/>
          <w:sz w:val="18"/>
          <w:szCs w:val="18"/>
          <w:color w:val="auto"/>
        </w:rPr>
        <w:t>We provide a set of integrated applications on a common platform, which offers businesses ease of use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simplicity. Our platform has one login, one user interface, one inbound database and one number to call for support, and is designed to be used by people without technical training.</w:t>
      </w:r>
    </w:p>
    <w:p>
      <w:pPr>
        <w:spacing w:after="0" w:line="171" w:lineRule="exact"/>
        <w:rPr>
          <w:sz w:val="20"/>
          <w:szCs w:val="20"/>
          <w:color w:val="auto"/>
        </w:rPr>
      </w:pPr>
    </w:p>
    <w:p>
      <w:pPr>
        <w:ind w:left="200" w:right="140" w:firstLine="443"/>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Power of All-In-One Platform. </w:t>
      </w:r>
      <w:r>
        <w:rPr>
          <w:rFonts w:ascii="Times New Roman" w:cs="Times New Roman" w:eastAsia="Times New Roman" w:hAnsi="Times New Roman"/>
          <w:sz w:val="17"/>
          <w:szCs w:val="17"/>
          <w:color w:val="auto"/>
        </w:rPr>
        <w:t>At the core of our platform is a single inbound database for each business that captures its customer activity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throughout the customer lifecycle, which makes it easy for businesses to use customer data to empower more personalized interactions with customers.</w:t>
      </w:r>
    </w:p>
    <w:p>
      <w:pPr>
        <w:spacing w:after="0" w:line="132" w:lineRule="exact"/>
        <w:rPr>
          <w:sz w:val="20"/>
          <w:szCs w:val="20"/>
          <w:color w:val="auto"/>
        </w:rPr>
      </w:pPr>
    </w:p>
    <w:p>
      <w:pPr>
        <w:ind w:left="200" w:right="320" w:firstLine="4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 ROI for Customers. </w:t>
      </w:r>
      <w:r>
        <w:rPr>
          <w:rFonts w:ascii="Times New Roman" w:cs="Times New Roman" w:eastAsia="Times New Roman" w:hAnsi="Times New Roman"/>
          <w:sz w:val="18"/>
          <w:szCs w:val="18"/>
          <w:color w:val="auto"/>
        </w:rPr>
        <w:t>Our platform delivers proven and measurable results for our customers. Our customers often experience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the volume of traffic to their websites, the volume of inbound leads and the rate of converting leads into customers.</w:t>
      </w:r>
    </w:p>
    <w:p>
      <w:pPr>
        <w:spacing w:after="0" w:line="155" w:lineRule="exact"/>
        <w:rPr>
          <w:sz w:val="20"/>
          <w:szCs w:val="20"/>
          <w:color w:val="auto"/>
        </w:rPr>
      </w:pPr>
    </w:p>
    <w:p>
      <w:pPr>
        <w:ind w:left="200" w:right="180" w:firstLine="4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Our platform was designed and built to serve a large number of customers of any size and with demanding use cases. Our scalability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gives us flexibility for future growth and enables us to service a large variety of businesses of different sizes across different industries.</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200" w:right="140" w:firstLine="4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Leading Platform. </w:t>
      </w:r>
      <w:r>
        <w:rPr>
          <w:rFonts w:ascii="Times New Roman" w:cs="Times New Roman" w:eastAsia="Times New Roman" w:hAnsi="Times New Roman"/>
          <w:sz w:val="18"/>
          <w:szCs w:val="18"/>
          <w:color w:val="auto"/>
        </w:rPr>
        <w:t>We have designed and built a world-class, inbound marketing and sales software platform. We believe our customers choose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platform over others because of its powerful, integrated and easy to use applications. As of March 31, 2014, on G2Crowd (an independent business software and services review website), the features and functions of our platform were ranked #1 in customer satisfaction in the following categories: marketing automation, social media management, email marketing, search marketing and web analytics.</w:t>
      </w:r>
    </w:p>
    <w:p>
      <w:pPr>
        <w:spacing w:after="0" w:line="177" w:lineRule="exact"/>
        <w:rPr>
          <w:sz w:val="20"/>
          <w:szCs w:val="20"/>
          <w:color w:val="auto"/>
        </w:rPr>
      </w:pPr>
    </w:p>
    <w:p>
      <w:pPr>
        <w:jc w:val="both"/>
        <w:ind w:left="200" w:right="16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Leadership and Strong Brand. </w:t>
      </w:r>
      <w:r>
        <w:rPr>
          <w:rFonts w:ascii="Times New Roman" w:cs="Times New Roman" w:eastAsia="Times New Roman" w:hAnsi="Times New Roman"/>
          <w:sz w:val="18"/>
          <w:szCs w:val="18"/>
          <w:color w:val="auto"/>
        </w:rPr>
        <w:t>We are a recognized thought leader in the marketing industry with a leading brand. Our founders, Brian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Halligan and Dharmesh Shah, are best-selling marketing book authors. We also have over 1.1 million followers and fans among Twitter, Facebook and LinkedIn as of March 31, 2014.</w:t>
      </w: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18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200" w:right="60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 and Growing Agency Partner Program. </w:t>
      </w:r>
      <w:r>
        <w:rPr>
          <w:rFonts w:ascii="Times New Roman" w:cs="Times New Roman" w:eastAsia="Times New Roman" w:hAnsi="Times New Roman"/>
          <w:sz w:val="18"/>
          <w:szCs w:val="18"/>
          <w:color w:val="auto"/>
        </w:rPr>
        <w:t>More than 1,500 marketing agency partners worldwide help us to promote the vision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inbound experience, efficiently reach new mid-market businesses at scale and provide our mutual customers with more diverse and higher-touch services.</w:t>
      </w:r>
    </w:p>
    <w:p>
      <w:pPr>
        <w:spacing w:after="0" w:line="171" w:lineRule="exact"/>
        <w:rPr>
          <w:sz w:val="20"/>
          <w:szCs w:val="20"/>
          <w:color w:val="auto"/>
        </w:rPr>
      </w:pPr>
    </w:p>
    <w:p>
      <w:pPr>
        <w:ind w:left="200" w:right="300" w:firstLine="4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Mid-Market Focus. </w:t>
      </w:r>
      <w:r>
        <w:rPr>
          <w:rFonts w:ascii="Times New Roman" w:cs="Times New Roman" w:eastAsia="Times New Roman" w:hAnsi="Times New Roman"/>
          <w:sz w:val="18"/>
          <w:szCs w:val="18"/>
          <w:color w:val="auto"/>
        </w:rPr>
        <w:t>We believe we have significant competitive advantages reaching mid-market businesses and reach this market at scale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our proven inbound go-to-market approach and our agency partner channel.</w:t>
      </w:r>
    </w:p>
    <w:p>
      <w:pPr>
        <w:spacing w:after="0" w:line="155" w:lineRule="exact"/>
        <w:rPr>
          <w:sz w:val="20"/>
          <w:szCs w:val="20"/>
          <w:color w:val="auto"/>
        </w:rPr>
      </w:pPr>
    </w:p>
    <w:p>
      <w:pPr>
        <w:ind w:left="200" w:right="120" w:firstLine="44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Powerful Network Effects. </w:t>
      </w:r>
      <w:r>
        <w:rPr>
          <w:rFonts w:ascii="Times New Roman" w:cs="Times New Roman" w:eastAsia="Times New Roman" w:hAnsi="Times New Roman"/>
          <w:sz w:val="17"/>
          <w:szCs w:val="17"/>
          <w:color w:val="auto"/>
        </w:rPr>
        <w:t>We have built a large and growing ecosystem around our platform and company. We have built what we believe is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largest engaged audience in our industry. As our engaged audience grows, more agencies partner with us, more third-party developers integrate their applications with our platform and more professionals complete our certification programs, all of which drive more businesses to adopt our platform.</w:t>
      </w: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7" w:lineRule="exact"/>
        <w:rPr>
          <w:sz w:val="20"/>
          <w:szCs w:val="20"/>
          <w:color w:val="auto"/>
        </w:rPr>
      </w:pPr>
    </w:p>
    <w:p>
      <w:pPr>
        <w:ind w:left="200" w:right="360" w:firstLine="4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 Our U.S. Customer Base. </w:t>
      </w:r>
      <w:r>
        <w:rPr>
          <w:rFonts w:ascii="Times New Roman" w:cs="Times New Roman" w:eastAsia="Times New Roman" w:hAnsi="Times New Roman"/>
          <w:sz w:val="18"/>
          <w:szCs w:val="18"/>
          <w:color w:val="auto"/>
        </w:rPr>
        <w:t>The market for our platform is large and underserved. We will continue to leverage our inbound go-to-market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and our network of marketing agency partners to keep growing our domestic business.</w:t>
      </w:r>
    </w:p>
    <w:p>
      <w:pPr>
        <w:spacing w:after="0" w:line="155" w:lineRule="exact"/>
        <w:rPr>
          <w:sz w:val="20"/>
          <w:szCs w:val="20"/>
          <w:color w:val="auto"/>
        </w:rPr>
      </w:pPr>
    </w:p>
    <w:p>
      <w:pPr>
        <w:ind w:left="200" w:right="32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Revenue from Existing Customers. </w:t>
      </w:r>
      <w:r>
        <w:rPr>
          <w:rFonts w:ascii="Times New Roman" w:cs="Times New Roman" w:eastAsia="Times New Roman" w:hAnsi="Times New Roman"/>
          <w:sz w:val="18"/>
          <w:szCs w:val="18"/>
          <w:color w:val="auto"/>
        </w:rPr>
        <w:t>With approximately 11,000 customers in more than 70 countries spanning many industries,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we have a significant opportunity to increase revenue from our existing customers. We plan to do this by expanding their use of our platform, selling to other parts of their organizations and upselling additional offerings and features.</w:t>
      </w:r>
    </w:p>
    <w:p>
      <w:pPr>
        <w:spacing w:after="0" w:line="171" w:lineRule="exact"/>
        <w:rPr>
          <w:sz w:val="20"/>
          <w:szCs w:val="20"/>
          <w:color w:val="auto"/>
        </w:rPr>
      </w:pPr>
    </w:p>
    <w:p>
      <w:pPr>
        <w:ind w:left="200" w:right="140" w:firstLine="4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Keep Expanding Internationally. </w:t>
      </w:r>
      <w:r>
        <w:rPr>
          <w:rFonts w:ascii="Times New Roman" w:cs="Times New Roman" w:eastAsia="Times New Roman" w:hAnsi="Times New Roman"/>
          <w:sz w:val="18"/>
          <w:szCs w:val="18"/>
          <w:color w:val="auto"/>
        </w:rPr>
        <w:t>There is a significant opportunity for our inbound platform outside of the United States. As of March 31,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19% of our customers were located outside of the United States and these customers generated approximately 20% of our total revenue for the three months ended March 31, 2014. We intend to grow our presence in international markets through additional investments in local sales, marketing and professional service capabilities as well as by leveraging our agency partner network.</w:t>
      </w:r>
    </w:p>
    <w:p>
      <w:pPr>
        <w:spacing w:after="0" w:line="177" w:lineRule="exact"/>
        <w:rPr>
          <w:sz w:val="20"/>
          <w:szCs w:val="20"/>
          <w:color w:val="auto"/>
        </w:rPr>
      </w:pPr>
    </w:p>
    <w:p>
      <w:pPr>
        <w:jc w:val="both"/>
        <w:ind w:left="200" w:right="200" w:firstLine="4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Innovate and Expand Our Platform. </w:t>
      </w:r>
      <w:r>
        <w:rPr>
          <w:rFonts w:ascii="Times New Roman" w:cs="Times New Roman" w:eastAsia="Times New Roman" w:hAnsi="Times New Roman"/>
          <w:sz w:val="18"/>
          <w:szCs w:val="18"/>
          <w:color w:val="auto"/>
        </w:rPr>
        <w:t>Mid-market businesses are increasingly realizing the value of having an integrated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and service platform. We believe we are well positioned to capitalize on this opportunity by introducing new products and applications to extend the functionality of our platform.</w:t>
      </w:r>
    </w:p>
    <w:p>
      <w:pPr>
        <w:spacing w:after="0" w:line="171" w:lineRule="exact"/>
        <w:rPr>
          <w:sz w:val="20"/>
          <w:szCs w:val="20"/>
          <w:color w:val="auto"/>
        </w:rPr>
      </w:pPr>
    </w:p>
    <w:p>
      <w:pPr>
        <w:ind w:left="200" w:firstLine="4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Pursue Acquisitions. </w:t>
      </w:r>
      <w:r>
        <w:rPr>
          <w:rFonts w:ascii="Times New Roman" w:cs="Times New Roman" w:eastAsia="Times New Roman" w:hAnsi="Times New Roman"/>
          <w:sz w:val="18"/>
          <w:szCs w:val="18"/>
          <w:color w:val="auto"/>
        </w:rPr>
        <w:t>We plan to selectively pursue acquisitions of complementary businesses, technologies and teams that would allow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add new features and functionalities to our platform and accelerate the pace of our innovation.</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business, financial condition, results of operations and prospects are subject to numerous risks. These risks include:</w:t>
      </w:r>
    </w:p>
    <w:p>
      <w:pPr>
        <w:spacing w:after="0" w:line="131" w:lineRule="exact"/>
        <w:rPr>
          <w:sz w:val="20"/>
          <w:szCs w:val="20"/>
          <w:color w:val="auto"/>
        </w:rPr>
      </w:pPr>
    </w:p>
    <w:p>
      <w:pPr>
        <w:ind w:left="1060" w:hanging="431"/>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achieve profitability in the future.</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customer renewals, the addition of new customers and the continued growth of the market for an inbound platform.</w:t>
      </w:r>
    </w:p>
    <w:p>
      <w:pPr>
        <w:spacing w:after="0" w:line="130" w:lineRule="exact"/>
        <w:rPr>
          <w:rFonts w:ascii="Times New Roman" w:cs="Times New Roman" w:eastAsia="Times New Roman" w:hAnsi="Times New Roman"/>
          <w:sz w:val="18"/>
          <w:szCs w:val="18"/>
          <w:color w:val="auto"/>
        </w:rPr>
      </w:pPr>
    </w:p>
    <w:p>
      <w:pPr>
        <w:ind w:left="1060" w:right="28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subscription renewal rates decrease, or we do not accurately predict subscription renewal rates, our future revenue and operating results may be harmed.</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455" w:right="3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991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software and other related applications, as well as internally developed software, which may harm our ability to add new customers, retain existing customers and grow our business.</w:t>
      </w:r>
    </w:p>
    <w:p>
      <w:pPr>
        <w:spacing w:after="0" w:line="67" w:lineRule="exact"/>
        <w:rPr>
          <w:rFonts w:ascii="Times New Roman" w:cs="Times New Roman" w:eastAsia="Times New Roman" w:hAnsi="Times New Roman"/>
          <w:sz w:val="18"/>
          <w:szCs w:val="18"/>
          <w:color w:val="auto"/>
        </w:rPr>
      </w:pPr>
    </w:p>
    <w:p>
      <w:pPr>
        <w:ind w:left="1060" w:right="80" w:hanging="431"/>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81" w:lineRule="exact"/>
        <w:rPr>
          <w:rFonts w:ascii="Times New Roman" w:cs="Times New Roman" w:eastAsia="Times New Roman" w:hAnsi="Times New Roman"/>
          <w:sz w:val="18"/>
          <w:szCs w:val="18"/>
          <w:color w:val="auto"/>
        </w:rPr>
      </w:pPr>
    </w:p>
    <w:p>
      <w:pPr>
        <w:ind w:left="1060" w:right="34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as we grow, we could lose the innovation, teamwork, passion and focus on execution that we believe contribute to our success and our business may be harmed.</w:t>
      </w:r>
    </w:p>
    <w:p>
      <w:pPr>
        <w:spacing w:after="0" w:line="67"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our inbound marketing thought leadership position, our business may suffer.</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management team and other key employees, and the loss of one or more key employees could harm our business.</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if it is alleged or determined that our technology infringes the intellectual property rights of others.</w:t>
      </w:r>
    </w:p>
    <w:p>
      <w:pPr>
        <w:sectPr>
          <w:pgSz w:w="11900" w:h="16838" w:orient="portrait"/>
          <w:cols w:equalWidth="0" w:num="1">
            <w:col w:w="11240"/>
          </w:cols>
          <w:pgMar w:left="240" w:top="455" w:right="41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concentration of our capital stock ownership with insiders following this offering is %, and will likely limit your ability to influence corporate matters including the ability to influence the outcome of director elections and other matters requiring stockholder approval.</w:t>
      </w:r>
    </w:p>
    <w:p>
      <w:pPr>
        <w:spacing w:after="0" w:line="200" w:lineRule="exact"/>
        <w:rPr>
          <w:sz w:val="20"/>
          <w:szCs w:val="20"/>
          <w:color w:val="auto"/>
        </w:rPr>
      </w:pPr>
    </w:p>
    <w:p>
      <w:pPr>
        <w:sectPr>
          <w:pgSz w:w="11900" w:h="16838" w:orient="portrait"/>
          <w:cols w:equalWidth="0" w:num="2">
            <w:col w:w="700" w:space="360"/>
            <w:col w:w="10180"/>
          </w:cols>
          <w:pgMar w:left="240" w:top="455" w:right="419" w:bottom="1440" w:gutter="0" w:footer="0" w:header="0"/>
          <w:type w:val="continuous"/>
        </w:sectPr>
      </w:pP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color w:val="auto"/>
        </w:rPr>
        <w:t>We were formed under the laws of the State of Delaware in 2005. Our principal executive offices are located at 25 First Street, 2nd Floor, Cambridge, Massachusetts 02141. Our telephone number is (888) 482-7768. We maintain a web site at www.hubspot.com. The reference to our web site is intended to be an inactive textual reference only. The information contained on, or that can be accessed through, our web site is not a part of this prospectus.</w:t>
      </w:r>
    </w:p>
    <w:p>
      <w:pPr>
        <w:spacing w:after="0" w:line="180" w:lineRule="exact"/>
        <w:rPr>
          <w:sz w:val="20"/>
          <w:szCs w:val="20"/>
          <w:color w:val="auto"/>
        </w:rPr>
      </w:pPr>
    </w:p>
    <w:p>
      <w:pPr>
        <w:ind w:left="200" w:right="300" w:firstLine="443"/>
        <w:spacing w:after="0" w:line="261" w:lineRule="auto"/>
        <w:rPr>
          <w:sz w:val="20"/>
          <w:szCs w:val="20"/>
          <w:color w:val="auto"/>
        </w:rPr>
      </w:pPr>
      <w:r>
        <w:rPr>
          <w:rFonts w:ascii="Times New Roman" w:cs="Times New Roman" w:eastAsia="Times New Roman" w:hAnsi="Times New Roman"/>
          <w:sz w:val="18"/>
          <w:szCs w:val="18"/>
          <w:color w:val="auto"/>
        </w:rPr>
        <w:t>“HubSpot,” “Social Inbox,” the HubSpot sprocket design logo and certain other marks are our registered trademarks in the United States and several other jurisdictions. This prospectus contains additional trade names, trademarks, and service marks of other companies, and such tradenames, trademarks and service marks are the property of their respective owners. We do not intend our use or display of other companies’ trade names, trademarks, or service marks to imply a relationship with, or endorsement or sponsorship of us by, these other companies.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72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2040" w:type="dxa"/>
            <w:vAlign w:val="bottom"/>
          </w:tcPr>
          <w:p>
            <w:pPr>
              <w:spacing w:after="0"/>
              <w:rPr>
                <w:sz w:val="24"/>
                <w:szCs w:val="2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2040" w:type="dxa"/>
            <w:vAlign w:val="bottom"/>
          </w:tcPr>
          <w:p>
            <w:pPr>
              <w:spacing w:after="0"/>
              <w:rPr>
                <w:sz w:val="24"/>
                <w:szCs w:val="2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to purchase additional shares from us</w:t>
            </w: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We have granted the underwriters an option, exercisable for 30 days</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after the date of this prospectus, to purchase up to an additional</w:t>
            </w:r>
          </w:p>
        </w:tc>
      </w:tr>
      <w:tr>
        <w:trPr>
          <w:trHeight w:val="234"/>
        </w:trPr>
        <w:tc>
          <w:tcPr>
            <w:tcW w:w="1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shares from us.</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5"/>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840" w:type="dxa"/>
            <w:vAlign w:val="bottom"/>
          </w:tcPr>
          <w:p>
            <w:pPr>
              <w:spacing w:after="0"/>
              <w:rPr>
                <w:sz w:val="23"/>
                <w:szCs w:val="23"/>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common stock that we are selling in this offering will be approximately</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million if the underwriters’</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w w:val="99"/>
              </w:rPr>
              <w:t>option to purchase additional shares in this offering is exercised in full),</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based upon an assumed initial public offering price of $</w:t>
            </w: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which is the midpoint of the estimated offering price range set forth on</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the cover page of this prospectus, and after deducting estimated</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expenses payable by us. We currently intend to use the net proceeds of</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this offering for working capital and other general corporate purposes.</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We may also use a portion of the net proceeds for acquisitions of</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complementary businesses, technologies or other assets, although we</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do not currently have any agreements, commitments or understandings</w:t>
            </w:r>
          </w:p>
        </w:tc>
      </w:tr>
      <w:tr>
        <w:trPr>
          <w:trHeight w:val="216"/>
        </w:trPr>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with respect to any such acquisitions. See “Use of Proceeds” for</w:t>
            </w:r>
          </w:p>
        </w:tc>
      </w:tr>
      <w:tr>
        <w:trPr>
          <w:trHeight w:val="234"/>
        </w:trPr>
        <w:tc>
          <w:tcPr>
            <w:tcW w:w="1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additional information.</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5"/>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840" w:type="dxa"/>
            <w:vAlign w:val="bottom"/>
          </w:tcPr>
          <w:p>
            <w:pPr>
              <w:spacing w:after="0"/>
              <w:rPr>
                <w:sz w:val="23"/>
                <w:szCs w:val="23"/>
                <w:color w:val="auto"/>
              </w:rPr>
            </w:pPr>
          </w:p>
        </w:tc>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See “Risk Factors” for a discussion of factors you should carefully</w:t>
            </w:r>
          </w:p>
        </w:tc>
      </w:tr>
      <w:tr>
        <w:trPr>
          <w:trHeight w:val="234"/>
        </w:trPr>
        <w:tc>
          <w:tcPr>
            <w:tcW w:w="1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8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consider before deciding to invest in our common stock.</w:t>
            </w:r>
          </w:p>
        </w:tc>
        <w:tc>
          <w:tcPr>
            <w:tcW w:w="940" w:type="dxa"/>
            <w:vAlign w:val="bottom"/>
          </w:tcPr>
          <w:p>
            <w:pPr>
              <w:spacing w:after="0"/>
              <w:rPr>
                <w:sz w:val="20"/>
                <w:szCs w:val="20"/>
                <w:color w:val="auto"/>
              </w:rPr>
            </w:pP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Proposed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trading symbol</w:t>
            </w:r>
          </w:p>
        </w:tc>
        <w:tc>
          <w:tcPr>
            <w:tcW w:w="4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“HUBS”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75,600,064 shares of common stock outstanding as of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March 31, 2014 and excludes:</w:t>
      </w:r>
    </w:p>
    <w:p>
      <w:pPr>
        <w:spacing w:after="0" w:line="112" w:lineRule="exact"/>
        <w:rPr>
          <w:sz w:val="20"/>
          <w:szCs w:val="20"/>
          <w:color w:val="auto"/>
        </w:rPr>
      </w:pPr>
    </w:p>
    <w:p>
      <w:pPr>
        <w:ind w:left="1060" w:right="200" w:hanging="431"/>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14,199,193 shares of common stock issuable upon the exercise of stock options outstanding as of March 31, 2014 with a weighted-average exercise price of $2.58 per share;</w:t>
      </w:r>
    </w:p>
    <w:p>
      <w:pPr>
        <w:spacing w:after="0" w:line="67"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3,268,562 shares of common stock subject to restricted stock units, or RSUs, outstanding as of March 31, 2014;</w:t>
      </w:r>
    </w:p>
    <w:p>
      <w:pPr>
        <w:spacing w:after="0" w:line="130" w:lineRule="exact"/>
        <w:rPr>
          <w:rFonts w:ascii="Times New Roman" w:cs="Times New Roman" w:eastAsia="Times New Roman" w:hAnsi="Times New Roman"/>
          <w:sz w:val="18"/>
          <w:szCs w:val="18"/>
          <w:color w:val="auto"/>
        </w:rPr>
      </w:pPr>
    </w:p>
    <w:p>
      <w:pPr>
        <w:ind w:left="1060" w:right="120" w:hanging="431"/>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39,474 shares of common stock issuable upon the exercise of warrants outstanding as of March 31, 2014 with an exercise price of $1.90 per share;</w:t>
      </w:r>
    </w:p>
    <w:p>
      <w:pPr>
        <w:spacing w:after="0" w:line="67" w:lineRule="exact"/>
        <w:rPr>
          <w:rFonts w:ascii="Times New Roman" w:cs="Times New Roman" w:eastAsia="Times New Roman" w:hAnsi="Times New Roman"/>
          <w:sz w:val="18"/>
          <w:szCs w:val="18"/>
          <w:color w:val="auto"/>
        </w:rPr>
      </w:pPr>
    </w:p>
    <w:p>
      <w:pPr>
        <w:ind w:left="1060" w:right="400" w:hanging="431"/>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1,824,514 shares of common stock reserved for future issuance under our 2007 Equity Incentive Plan, or the 2007 Plan, as of March 31, 2014; and</w:t>
      </w:r>
    </w:p>
    <w:p>
      <w:pPr>
        <w:spacing w:after="0" w:line="67" w:lineRule="exact"/>
        <w:rPr>
          <w:rFonts w:ascii="Times New Roman" w:cs="Times New Roman" w:eastAsia="Times New Roman" w:hAnsi="Times New Roman"/>
          <w:sz w:val="18"/>
          <w:szCs w:val="18"/>
          <w:color w:val="auto"/>
        </w:rPr>
      </w:pPr>
    </w:p>
    <w:p>
      <w:pPr>
        <w:ind w:left="1640" w:hanging="1011"/>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2014 Stock Option and Incentive Plan, or the 2014 Plan, and</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shares of common stock reserved for issuance under our</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131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21310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080" w:right="400"/>
        <w:spacing w:after="0" w:line="266" w:lineRule="auto"/>
        <w:rPr>
          <w:sz w:val="20"/>
          <w:szCs w:val="20"/>
          <w:color w:val="auto"/>
        </w:rPr>
      </w:pPr>
      <w:r>
        <w:rPr>
          <w:rFonts w:ascii="Times New Roman" w:cs="Times New Roman" w:eastAsia="Times New Roman" w:hAnsi="Times New Roman"/>
          <w:sz w:val="18"/>
          <w:szCs w:val="18"/>
          <w:color w:val="auto"/>
        </w:rPr>
        <w:t>2014 Employee Stock Purchase Plan, or the 2014 ESPP, each of which will become effective in connection with this offering and contains provisions that will automatically increase its respective shares reserved each year, as more fully described in “Executive Compensation— Employee Benefit Plans.”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Except as otherwise indicated, the information in this prospectus reflects or assumes the following:</w:t>
      </w:r>
    </w:p>
    <w:p>
      <w:pPr>
        <w:spacing w:after="0" w:line="131" w:lineRule="exact"/>
        <w:rPr>
          <w:sz w:val="20"/>
          <w:szCs w:val="20"/>
          <w:color w:val="auto"/>
        </w:rPr>
      </w:pPr>
    </w:p>
    <w:p>
      <w:pPr>
        <w:ind w:left="1060" w:hanging="431"/>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which will occur upon the closing of this offering;</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of our outstanding preferred stock into 58,589,218 shares of common stock upon the closing of this offering;</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warrants outstanding as of March 31,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w:t>
            </w:r>
          </w:p>
        </w:tc>
        <w:tc>
          <w:tcPr>
            <w:tcW w:w="4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reverse stock split of our common stock effected on</w:t>
            </w: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2014; and</w:t>
            </w:r>
          </w:p>
        </w:tc>
      </w:tr>
      <w:tr>
        <w:trPr>
          <w:trHeight w:val="319"/>
        </w:trPr>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exercise by the underwriters of their option to purchase up to an additional</w:t>
            </w:r>
          </w:p>
        </w:tc>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our common stock in this offering to cover</w:t>
            </w:r>
          </w:p>
        </w:tc>
      </w:tr>
      <w:tr>
        <w:trPr>
          <w:trHeight w:val="234"/>
        </w:trPr>
        <w:tc>
          <w:tcPr>
            <w:tcW w:w="88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over-allotments.</w:t>
            </w:r>
          </w:p>
        </w:tc>
        <w:tc>
          <w:tcPr>
            <w:tcW w:w="45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r>
      <w:tr>
        <w:trPr>
          <w:trHeight w:val="361"/>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65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200" w:right="80" w:firstLine="443"/>
        <w:spacing w:after="0" w:line="254" w:lineRule="auto"/>
        <w:rPr>
          <w:sz w:val="20"/>
          <w:szCs w:val="20"/>
          <w:color w:val="auto"/>
        </w:rPr>
      </w:pPr>
      <w:r>
        <w:rPr>
          <w:rFonts w:ascii="Times New Roman" w:cs="Times New Roman" w:eastAsia="Times New Roman" w:hAnsi="Times New Roman"/>
          <w:sz w:val="18"/>
          <w:szCs w:val="18"/>
          <w:color w:val="auto"/>
        </w:rPr>
        <w:t>We have derived the summary consolidated statements of operations data for the years ended December 31, 2011, 2012 and 2013 and the consolidated balance sheet data as of December 31, 2013 from our audited consolidated financial statements included elsewhere in this prospectus. We have derived the summary consolidated statements of operations data for the years ended December 31, 2009 and 2010 from our unaudited consolidated financial statements not found in this prospectus. We have derived the summary consolidated statements of operations data for the three months ended March 31, 2013 and 2014 and the consolidated balance sheet data as of March 31, 2014 from our unaudited interim consolidated financial statements included elsewhere in this prospectus. The unaudited interim consolidated financial statements were prepared on a basis consistent with our audited financial statements and include, in our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8"/>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9"/>
            <w:shd w:val="clear" w:color="auto" w:fill="CCEEFF"/>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5,771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13,636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25,702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45,870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70,819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5"/>
              </w:rPr>
              <w:t>15,244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5"/>
              </w:rPr>
              <w:t>22,285</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2,851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6,815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1,496</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17"/>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28,553</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77,634</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16,740</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24,174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640"/>
              <w:spacing w:after="0" w:line="202" w:lineRule="exact"/>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5,712</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10,834</w:t>
            </w:r>
          </w:p>
        </w:tc>
        <w:tc>
          <w:tcPr>
            <w:tcW w:w="10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20,280</w:t>
            </w:r>
          </w:p>
        </w:tc>
        <w:tc>
          <w:tcPr>
            <w:tcW w:w="80" w:type="dxa"/>
            <w:vAlign w:val="bottom"/>
          </w:tcPr>
          <w:p>
            <w:pPr>
              <w:spacing w:after="0"/>
              <w:rPr>
                <w:sz w:val="17"/>
                <w:szCs w:val="17"/>
                <w:color w:val="auto"/>
              </w:rPr>
            </w:pPr>
          </w:p>
        </w:tc>
        <w:tc>
          <w:tcPr>
            <w:tcW w:w="7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7"/>
                <w:szCs w:val="17"/>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5,547</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4"/>
                <w:szCs w:val="14"/>
                <w:color w:val="auto"/>
              </w:rPr>
              <w:t>Professional services and other</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2,642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4,091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6,368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6,004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8,759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1,810</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r>
        <w:trPr>
          <w:trHeight w:val="217"/>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16,838</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29,039</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2,857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8,393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16,473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34,766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48,595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5"/>
              </w:rPr>
              <w:t>10,300</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16,060</w:t>
            </w: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640"/>
              <w:spacing w:after="0" w:line="205"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4,382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10,031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15,018</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2,870</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4,693</w:t>
            </w:r>
          </w:p>
        </w:tc>
        <w:tc>
          <w:tcPr>
            <w:tcW w:w="0" w:type="dxa"/>
            <w:vAlign w:val="bottom"/>
          </w:tcPr>
          <w:p>
            <w:pPr>
              <w:spacing w:after="0"/>
              <w:rPr>
                <w:sz w:val="1"/>
                <w:szCs w:val="1"/>
                <w:color w:val="auto"/>
              </w:rPr>
            </w:pPr>
          </w:p>
        </w:tc>
      </w:tr>
      <w:tr>
        <w:trPr>
          <w:trHeight w:val="203"/>
        </w:trPr>
        <w:tc>
          <w:tcPr>
            <w:tcW w:w="5340" w:type="dxa"/>
            <w:vAlign w:val="bottom"/>
          </w:tcPr>
          <w:p>
            <w:pPr>
              <w:ind w:left="640"/>
              <w:spacing w:after="0" w:line="20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8,031</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14,075</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24,088</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34,949</w:t>
            </w:r>
          </w:p>
        </w:tc>
        <w:tc>
          <w:tcPr>
            <w:tcW w:w="10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53,158</w:t>
            </w:r>
          </w:p>
        </w:tc>
        <w:tc>
          <w:tcPr>
            <w:tcW w:w="80" w:type="dxa"/>
            <w:vAlign w:val="bottom"/>
          </w:tcPr>
          <w:p>
            <w:pPr>
              <w:spacing w:after="0"/>
              <w:rPr>
                <w:sz w:val="17"/>
                <w:szCs w:val="17"/>
                <w:color w:val="auto"/>
              </w:rPr>
            </w:pPr>
          </w:p>
        </w:tc>
        <w:tc>
          <w:tcPr>
            <w:tcW w:w="7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5"/>
              </w:rPr>
              <w:t>11,604</w:t>
            </w:r>
          </w:p>
        </w:tc>
        <w:tc>
          <w:tcPr>
            <w:tcW w:w="80" w:type="dxa"/>
            <w:vAlign w:val="bottom"/>
          </w:tcPr>
          <w:p>
            <w:pPr>
              <w:spacing w:after="0"/>
              <w:rPr>
                <w:sz w:val="17"/>
                <w:szCs w:val="17"/>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5"/>
              </w:rPr>
              <w:t>15,926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6,769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7,972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14,669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3,405</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4,855</w:t>
            </w:r>
          </w:p>
        </w:tc>
        <w:tc>
          <w:tcPr>
            <w:tcW w:w="0" w:type="dxa"/>
            <w:vAlign w:val="bottom"/>
          </w:tcPr>
          <w:p>
            <w:pPr>
              <w:spacing w:after="0"/>
              <w:rPr>
                <w:sz w:val="1"/>
                <w:szCs w:val="1"/>
                <w:color w:val="auto"/>
              </w:rPr>
            </w:pPr>
          </w:p>
        </w:tc>
      </w:tr>
      <w:tr>
        <w:trPr>
          <w:trHeight w:val="217"/>
        </w:trPr>
        <w:tc>
          <w:tcPr>
            <w:tcW w:w="534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12,251</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20,957</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40,888</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53,506</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82,845</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17,879</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25,474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(9,394)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(12,564)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(24,415)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(18,740)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5"/>
              </w:rPr>
              <w:t>(34,250)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(7,579)</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7"/>
                <w:szCs w:val="17"/>
                <w:color w:val="auto"/>
              </w:rPr>
            </w:pP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7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expense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(9,393)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(12,573)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(24,411)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8"/>
              </w:rPr>
              <w:t>(18,778)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5"/>
              </w:rPr>
              <w:t>(34,274)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(7,536)</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3"/>
        </w:trPr>
        <w:tc>
          <w:tcPr>
            <w:tcW w:w="5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Preferred stock accretion</w:t>
            </w:r>
          </w:p>
        </w:tc>
        <w:tc>
          <w:tcPr>
            <w:tcW w:w="100" w:type="dxa"/>
            <w:vAlign w:val="bottom"/>
          </w:tcPr>
          <w:p>
            <w:pPr>
              <w:spacing w:after="0"/>
              <w:rPr>
                <w:sz w:val="17"/>
                <w:szCs w:val="17"/>
                <w:color w:val="auto"/>
              </w:rPr>
            </w:pP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7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Deemed dividend to investors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(9,490</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(12,696</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(25,471</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(18,859</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(34,328</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Net loss per common share, basic and diluted</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used in computing basic and diluted net loss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40" w:type="dxa"/>
            <w:vAlign w:val="bottom"/>
          </w:tcPr>
          <w:p>
            <w:pPr>
              <w:ind w:left="160"/>
              <w:spacing w:after="0" w:line="217" w:lineRule="exact"/>
              <w:rPr>
                <w:sz w:val="20"/>
                <w:szCs w:val="20"/>
                <w:color w:val="auto"/>
              </w:rPr>
            </w:pPr>
            <w:r>
              <w:rPr>
                <w:rFonts w:ascii="Times New Roman" w:cs="Times New Roman" w:eastAsia="Times New Roman" w:hAnsi="Times New Roman"/>
                <w:sz w:val="15"/>
                <w:szCs w:val="15"/>
                <w:color w:val="auto"/>
              </w:rPr>
              <w:t>per common share</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7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w w:val="95"/>
              </w:rPr>
              <w:t>10,559</w:t>
            </w:r>
          </w:p>
        </w:tc>
        <w:tc>
          <w:tcPr>
            <w:tcW w:w="80" w:type="dxa"/>
            <w:vAlign w:val="bottom"/>
          </w:tcPr>
          <w:p>
            <w:pPr>
              <w:spacing w:after="0"/>
              <w:rPr>
                <w:sz w:val="18"/>
                <w:szCs w:val="18"/>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10,802</w:t>
            </w:r>
          </w:p>
        </w:tc>
        <w:tc>
          <w:tcPr>
            <w:tcW w:w="80" w:type="dxa"/>
            <w:vAlign w:val="bottom"/>
          </w:tcPr>
          <w:p>
            <w:pPr>
              <w:spacing w:after="0"/>
              <w:rPr>
                <w:sz w:val="18"/>
                <w:szCs w:val="18"/>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12,346</w:t>
            </w:r>
          </w:p>
        </w:tc>
        <w:tc>
          <w:tcPr>
            <w:tcW w:w="80" w:type="dxa"/>
            <w:vAlign w:val="bottom"/>
          </w:tcPr>
          <w:p>
            <w:pPr>
              <w:spacing w:after="0"/>
              <w:rPr>
                <w:sz w:val="18"/>
                <w:szCs w:val="18"/>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14,097</w:t>
            </w:r>
          </w:p>
        </w:tc>
        <w:tc>
          <w:tcPr>
            <w:tcW w:w="100" w:type="dxa"/>
            <w:vAlign w:val="bottom"/>
          </w:tcPr>
          <w:p>
            <w:pPr>
              <w:spacing w:after="0"/>
              <w:rPr>
                <w:sz w:val="18"/>
                <w:szCs w:val="18"/>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15,339</w:t>
            </w:r>
          </w:p>
        </w:tc>
        <w:tc>
          <w:tcPr>
            <w:tcW w:w="80" w:type="dxa"/>
            <w:vAlign w:val="bottom"/>
          </w:tcPr>
          <w:p>
            <w:pPr>
              <w:spacing w:after="0"/>
              <w:rPr>
                <w:sz w:val="18"/>
                <w:szCs w:val="18"/>
                <w:color w:val="auto"/>
              </w:rPr>
            </w:pPr>
          </w:p>
        </w:tc>
        <w:tc>
          <w:tcPr>
            <w:tcW w:w="7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5"/>
              </w:rPr>
              <w:t>15,107</w:t>
            </w:r>
          </w:p>
        </w:tc>
        <w:tc>
          <w:tcPr>
            <w:tcW w:w="80" w:type="dxa"/>
            <w:vAlign w:val="bottom"/>
          </w:tcPr>
          <w:p>
            <w:pPr>
              <w:spacing w:after="0"/>
              <w:rPr>
                <w:sz w:val="18"/>
                <w:szCs w:val="18"/>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5"/>
              </w:rPr>
              <w:t>16,480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Pro forma net loss per common share, basic and diluted (unaudited)</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(0.47)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Pro forma weighted average common shares used in computing basic and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 net loss per common share (unaudited)</w:t>
            </w:r>
            <w:r>
              <w:rPr>
                <w:rFonts w:ascii="Times New Roman" w:cs="Times New Roman" w:eastAsia="Times New Roman" w:hAnsi="Times New Roman"/>
                <w:sz w:val="27"/>
                <w:szCs w:val="27"/>
                <w:color w:val="auto"/>
                <w:vertAlign w:val="superscript"/>
              </w:rPr>
              <w:t>(3)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73,928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5"/>
              </w:rPr>
              <w:t>75,069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240" w:top="455" w:right="3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7019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701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included in the consolidated statements of operations data above was as follows:</w:t>
      </w: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8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1,484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1,318</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287</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3,464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20" w:right="500" w:hanging="423"/>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consolidated financial statements for further details on the calculation of basic and diluted net loss per share attributable to common stockholders.</w:t>
      </w:r>
    </w:p>
    <w:p>
      <w:pPr>
        <w:ind w:left="620" w:right="340" w:hanging="423"/>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consolidated financial statements for further details on the calculation of pro forma net loss per share attributable to common stockholders.</w:t>
      </w:r>
    </w:p>
    <w:p>
      <w:pPr>
        <w:spacing w:after="0" w:line="17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balance sheet as of March 31, 2014 is presented on:</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basis;</w:t>
      </w:r>
    </w:p>
    <w:p>
      <w:pPr>
        <w:spacing w:after="0" w:line="130" w:lineRule="exact"/>
        <w:rPr>
          <w:rFonts w:ascii="Times New Roman" w:cs="Times New Roman" w:eastAsia="Times New Roman" w:hAnsi="Times New Roman"/>
          <w:sz w:val="18"/>
          <w:szCs w:val="18"/>
          <w:color w:val="auto"/>
        </w:rPr>
      </w:pPr>
    </w:p>
    <w:p>
      <w:pPr>
        <w:ind w:left="1060" w:right="140" w:hanging="431"/>
        <w:spacing w:after="0" w:line="261"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the automatic conversion of all outstanding shares of our convertible preferred stock into 58,589,218 shares of common stock immediately prior to the closing of this offering and the effectiveness of our amended and restated certificate of incorporation which will occur upon closing of this offering, as if such conversion had occurred and our amended and restated certificate of incorporation had become effective on March 31, 2014; and</w:t>
      </w:r>
    </w:p>
    <w:p>
      <w:pPr>
        <w:sectPr>
          <w:pgSz w:w="11900" w:h="16838" w:orient="portrait"/>
          <w:cols w:equalWidth="0" w:num="1">
            <w:col w:w="11260"/>
          </w:cols>
          <w:pgMar w:left="240" w:top="455" w:right="399" w:bottom="1440" w:gutter="0" w:footer="0" w:header="0"/>
        </w:sectPr>
      </w:pP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pro forma as adjusted basis, giving effect to the pro forma adjustments and the sale of shares of common stock by us in this offering, based on an assumed initial public offering price of $ per share, the midpoint of the price range reflected on the cover page of this prospectus, after deducting the estimated underwriting discounts and commissions and estimated offering expenses payable by us.</w:t>
      </w:r>
    </w:p>
    <w:p>
      <w:pPr>
        <w:spacing w:after="0" w:line="176" w:lineRule="exact"/>
        <w:rPr>
          <w:sz w:val="20"/>
          <w:szCs w:val="20"/>
          <w:color w:val="auto"/>
        </w:rPr>
      </w:pPr>
    </w:p>
    <w:p>
      <w:pPr>
        <w:sectPr>
          <w:pgSz w:w="11900" w:h="16838" w:orient="portrait"/>
          <w:cols w:equalWidth="0" w:num="2">
            <w:col w:w="700" w:space="360"/>
            <w:col w:w="10200"/>
          </w:cols>
          <w:pgMar w:left="240" w:top="455" w:right="399" w:bottom="1440" w:gutter="0" w:footer="0" w:header="0"/>
          <w:type w:val="continuous"/>
        </w:sect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5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Pr>
          <w:p>
            <w:pPr>
              <w:spacing w:after="0"/>
              <w:rPr>
                <w:sz w:val="10"/>
                <w:szCs w:val="10"/>
                <w:color w:val="auto"/>
              </w:rPr>
            </w:pPr>
          </w:p>
        </w:tc>
        <w:tc>
          <w:tcPr>
            <w:tcW w:w="120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8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7,967</w:t>
            </w: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$ 7,967</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excluding deferred revenue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9,891</w:t>
            </w:r>
          </w:p>
        </w:tc>
        <w:tc>
          <w:tcPr>
            <w:tcW w:w="16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9,891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50,099</w:t>
            </w: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50,099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29,638</w:t>
            </w:r>
          </w:p>
        </w:tc>
        <w:tc>
          <w:tcPr>
            <w:tcW w:w="16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29,638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48,994</w:t>
            </w: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48,994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101,305</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(100,200)</w:t>
            </w: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1,105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620" w:right="20" w:hanging="419"/>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w:t>
        <w:tab/>
        <w:t>Each $1.00 increase (decrease) in the assumed initial public offering price of $ per share, the midpoint of the price range reflected on the cover page of this prospectus, would increase (decrease) our cash, working capital (excluding deferred revenue), total assets and total stockholders’</w:t>
      </w:r>
    </w:p>
    <w:p>
      <w:pPr>
        <w:ind w:left="620" w:right="440"/>
        <w:spacing w:after="0" w:line="261" w:lineRule="auto"/>
        <w:rPr>
          <w:sz w:val="20"/>
          <w:szCs w:val="20"/>
          <w:color w:val="auto"/>
        </w:rPr>
      </w:pPr>
      <w:r>
        <w:rPr>
          <w:rFonts w:ascii="Times New Roman" w:cs="Times New Roman" w:eastAsia="Times New Roman" w:hAnsi="Times New Roman"/>
          <w:sz w:val="18"/>
          <w:szCs w:val="18"/>
          <w:color w:val="auto"/>
        </w:rPr>
        <w:t>equity by approximately $ million, assuming that the number of shares offered by us, as set forth on the cover page of this prospectus, remains the same and after deducting the estimated underwriting discounts and commissions and estimated offering expenses payable by us.</w:t>
      </w: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240" w:top="455" w:right="39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operating results and prospects could be materially and adversely affected. In that event, the price of our common stock could decline and you could lose part or all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profitability in the future.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generated net losses of $24.4 million in 2011, $18.8 million in 2012, $34.3 million in 2013 and $7.5 million and $9.5 million for the three months ended March 31, 2013 and 2014, respectively. As of March 31, 2014, we had an accumulated deficit of $115.5 million. We will need to generate and sustain increased revenue levels in future periods to become profitable, and, even if we do, we may not be able to maintain or increase our level of profitability. We intend to continue to expend significant funds to grow our marketing and sales operations, develop and enhance our inbound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prospectus, and unforeseen expenses, difficulties, complications and delays and other unknown events. If we are unable to achieve and sustain profitability, the market price of our common stock may significantly decrease.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customer renewals, the addition of new customers and the continued growth of the market for an inbound platform.</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derive, and expect to continue to derive, a substantial portion of our revenue from the sale of subscriptions to our inbound marketing platform. The market for inbound marketing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subscription renewal rates may decrease, and any decrease could harm our future revenue and operating results.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amounts or for shorter contract lengths. Also, customers may choose not to renew their subscriptions for a variety of reasons, including an inability or failure on the part of a customer to create blogging, social media and other content necessary to realize the benefits of our platform. Our renewal rates may decline or fluctuate as a result of a number of factors, including limited customer resources, pricing changes, adoption and utilization of our platform by our customers, customer satisfaction with our platform, the acquisition of our customers by other companies and deteriorating general economic conditions. If our customers do not renew their subscriptions for our platform or decrease the amount they spend with us, our revenue will decline and our business will suffer.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software and other related applications, as well as internally developed software, which may harm our ability to add new customers, retain existing customers and grow our business.</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marketing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software and from marketing services companies that provide interactive marketing services. Competition could significantly impede our ability to sell subscriptions to our inbound marketing platform on terms favorable to us. Our current and potential competitors may develop and market new technologies that render our existing or future products less competitive, unmarketable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competitors offer various point applications that provide certain functions and features that we provide, including:</w:t>
      </w:r>
    </w:p>
    <w:p>
      <w:pPr>
        <w:spacing w:after="0" w:line="131"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instead of using our platform, some prospective customers may elect to combine disparate point applications, such as content management, marketing automation,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system vendors could acquire or develop applications that compete with our offerings. Some of these companies have acquired social media marketing and other marketing software providers to integrate with their broader offerings.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have more extensive customer bases and broader customer relationships than we have, and may have longer operating histories and greater name recognition than we have. As a result, these competitors may be better able to respond quickly to new technologies and to undertake more extensive marketing campaigns. In a few cases, these vendors may also be able to offer marketing software at little or no additional cost by bundling them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inbound platform could substantially decline.</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head count and operations have grown substantially. For example, we had 679 full-time employees as of March 31, 2014, as compared with 304 as of December 31, 2011, and we opened our first international office in Dublin, Ireland in January 2013.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To increase total customers and achieve broader market acceptance of our inbound platform, we will need to expand our marketing and sales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inbound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rate of growth of our business depends on the continued participation and level of service of our marketing agency partners.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rely on our marketing agency partners to provide certain services to our customers, as well as pursue sales of our inbound platform to customers. Marketing agency partners and customers referred to us by our marketing agency partners represented approximately 37% of our customers as of March 31, 2014, and 33% of our revenue for the three months ended March 31, 2014. To the extent we do not attract new marketing agency partners, or existing or new marketing agency partners do not refer a growing number of customers to us, our revenue and operating results would be harmed. In addition, if our marketing agency partners do not continue to provide services to our customers, we would be required to provide such services ourselves either by expanding our internal team or engaging other third-party providers, which would increase our operating costs.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recruit personnel and to effectively focus on and pursue our corporate objectives. As we grow as and develop the infrastructure of a public company, we may find it difficult to maintain these important aspects of our company culture. If we fail to maintain our company culture, our business may be adversely impacted.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inbound marketing thought leadership position, our business may suffer.</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business-to-business, or B2B, market. Successful promotion and maintenance of our brands will depend largely on the effectiveness of our marketing efforts and on our ability to provide a reliable and useful inbound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requirements, our inbound platform may become less competitive.</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adapt and innovate our inbound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point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inbound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In addition, we intend to enter into change in control agreements with our executive officers and certain other management-level employees pursuant to which an involuntary termination by us without cause or a voluntary termination by the employee for good reason, within three months prior to or one year after a change of control transaction, will result in acceleration of equity vesting for the individual, which would increase the cost to us of any such departure. We do not maintain key man life insurance on any of our employees. The loss of one or more of our key employees could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may suffer.</w:t>
      </w:r>
    </w:p>
    <w:p>
      <w:pPr>
        <w:spacing w:after="0" w:line="12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High-quality education, training and customer support are important for the successful marketing, sale and use of our inbound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inbound platform and provide effective ongoing support, our ability to sell additional functionality and services to, or to retain, existing customers may suffer and our reputation with existing or potential customers may be harmed.</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usage of our inbound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inbound platform to customers, resulting in decreased sales to new customers, lower renewal rates by existing customers,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inbound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businesses that purchase our platform or in the applications within our inbound platform purchased or used by our customers could negatively affect our operating results.</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to our inbound platform to mid-sized businesses, but we have sold and will continue to sell to organizations ranging from small businesses to enterprises. Our gross margins can vary depending on numerous factors related to the implementation and use of our inbound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9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6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in June 2011, we acquired Performable, a marketing automation provider.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 unanticipated costs or liabilities associated with the acquisition; incurrence of acquisition-related costs, which would be recognized as a current period expense; inability to</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3"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take charges to our operating results based on our impairment assessment process, which could harm our results of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As of March 31, 2014, approximately 19% of our customers were located outside of the United States and these customers generated approximately 20% of our total revenue for the three months ended March 31, 2014. We opened our first international office in Dublin, Ireland in January 2013, which focuses primarily on sales and professional services. For information regarding the percentage of our revenues generated by our Ireland office, see Note 7 of our consolidated financial statements. Our current international operations and future initiatives will involve a variety of risks, including:</w:t>
      </w:r>
    </w:p>
    <w:p>
      <w:pPr>
        <w:spacing w:after="0" w:line="89"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company culture with a dispersed and distant workforce;</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information, particularly in the European Union;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7"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67" w:lineRule="exact"/>
        <w:rPr>
          <w:rFonts w:ascii="Times New Roman" w:cs="Times New Roman" w:eastAsia="Times New Roman" w:hAnsi="Times New Roman"/>
          <w:sz w:val="18"/>
          <w:szCs w:val="18"/>
          <w:color w:val="auto"/>
        </w:rPr>
      </w:pPr>
    </w:p>
    <w:p>
      <w:pPr>
        <w:ind w:left="900" w:right="78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are currently implementing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00" w:lineRule="exact"/>
        <w:rPr>
          <w:sz w:val="20"/>
          <w:szCs w:val="20"/>
          <w:color w:val="auto"/>
        </w:rPr>
      </w:pPr>
    </w:p>
    <w:p>
      <w:pPr>
        <w:spacing w:after="0" w:line="30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Amazon Web Services and located in northern Virginia.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data hosting and transmission services.</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inbound platform or services to cover the changes. As a result, our operating results may be significantly worse than forecasted.</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inbound platform with third-party applications that our customers use in their businesses, our revenue will decline.</w:t>
      </w:r>
    </w:p>
    <w:p>
      <w:pPr>
        <w:spacing w:after="0" w:line="5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A significant percentage of our customers choose to integrate our platform with certain capabilities of CRM application providers using application programming interfaces, or APIs, provided by these providers. The functionality and popularity of our inbound platform depends, in part, on our ability to integrate our platform with third-party applications and platforms, including CRM, e-commerce, call center, analytics and social media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we may not be able to offer the functionality that our customers need, which would negatively impact our ability to generate revenue and adversely impact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the loss of which could limit the functionality of our platform and disrupt our business.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Select functionality of our inbound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or by customer consent. In the future, any of these third parties could change its data sharing policies, including making them more restrictive, or alter its algorithms that determine the placement and display of search results and social media updates, any of which could result in the loss of, or significant impairment to, our ability to collect and provide useful data to our customers. These third parties could also interpret our own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end users’ acceptance of Internet behavior tracking may limit the applicability, use and adoption of our inbound platform.</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inbound platform and reduce overall demand for it, or lead to significant fines, penalties or liabilities for any noncompliance or loss of any such action.</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6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Some proposed laws or regulations concerning privacy, data protection and information security are in their early stages, and we cannot yet determine the impact these laws and regulations, if implemented, may have on our business. Such laws and regulations may require companies to implement privacy and security policies, permit users to access, correct and delete personal information stored or maintained by such companies, inform individuals of security breaches that affect their personal information, and, in some cases, obtain individuals’ consent to use personal information for certain purposes. In addition, a foreign government could require that any personal information collected in a country not be disseminated outside of that country, and we are not currently equipped to comply with such a requirement. Other proposed legislation could, if enacted, impose additional requirements and prohibit the use of certain technologies that track individuals’ activities on web pages or that record when individuals click through to an internet address contained in an email message.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regulators could harm our ability to successfully operation our business and pursue our business goals.</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such as names, email addresses and in some jurisdictions, Internet Protocol, or IP, addresses. Such regulations and laws may be modified and new laws may be enacted in the future. Within the European Union, legislators are currently considering a revision to the 1995 European Union Data Protection Directive that would include more stringent operational requirements for processors and controllers of personal information and that would impose significant penalties for non-compliance. If our privacy or data security measures fail to comply with current or future laws and regulations, we may be subject to litigation, regulatory investigations, fines or other liabilities,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86"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New interpretations of existing laws, regulations or standards could require us to incur additional costs and restrict our business operations, and any failure by us to comply with applicable requirements may result in governmental enforcement actions, litigation, fines and penalties or adverse publicity, which could have an adverse effect on our reputation and business.</w:t>
      </w:r>
    </w:p>
    <w:p>
      <w:pPr>
        <w:spacing w:after="0" w:line="2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customers’ security measures are compromised or unauthorized access to data of our customers or their customers is otherwise obtained, our inbound platform may be perceived as not being secure, our customers may be harmed and may curtail or cease their use of our platform, our reputation may be damaged and we may incur significant liabilities.</w:t>
      </w:r>
    </w:p>
    <w:p>
      <w:pPr>
        <w:spacing w:after="0" w:line="67"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operations involve the storage and transmission of data of our customers and their customers, including personally identifiable information. Our storage is typically the sole source of record for portions of our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which we work, such as vendors or developers, violate applicable laws or our security policies,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9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inbound platform fails due to defects or similar problems, and if we fail to correct any defect or other software problems, we could lose customers, become subject to service performance or warranty claims or incur significant costs.</w:t>
      </w:r>
    </w:p>
    <w:p>
      <w:pPr>
        <w:spacing w:after="0" w:line="5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These defects or errors could also cause inaccuracies in the data we collect and process for our customers, or even the loss, damage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inadvertent release of such confidential data. We implement bug fixes and upgrades as part of our regular system maintenance, which may lead to system downtime. Even if we are able to implement the bug fixes and upgrades in a timely manner, any history of defects or inaccuracies in the data we collect for our customers, or the loss, damage or inadvertent release of confidential data could cause our reputation to be harmed, and customers may elect not to purchase or renew their agreements with us and subject us to service performance credits, warranty claims or increased insurance costs. The costs associated with any material defects or errors in our platform or other performance problems may be substantial and could materially adversely affect our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technology infringes the intellectual property rights of others.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inbound platform if they are concerned that they may infringe third-party intellectual property rights. The occurrence of any of these events may have a material adverse effect on our business.</w:t>
      </w:r>
    </w:p>
    <w:p>
      <w:pPr>
        <w:spacing w:after="0" w:line="19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our platform and subject us to possible litigation.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Taxation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5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As a provider of a cloud-based inbound marketing and sales software platform, we may be subject to potential liability for the activities of our customers on or in connection with the data they store on our servers.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Several U.S. federal statutes may apply to us with respect to various customer activities:</w:t>
      </w:r>
    </w:p>
    <w:p>
      <w:pPr>
        <w:spacing w:after="0" w:line="131" w:lineRule="exact"/>
        <w:rPr>
          <w:sz w:val="20"/>
          <w:szCs w:val="20"/>
          <w:color w:val="auto"/>
        </w:rPr>
      </w:pPr>
    </w:p>
    <w:p>
      <w:pPr>
        <w:ind w:left="900" w:hanging="446"/>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90" w:lineRule="exact"/>
        <w:rPr>
          <w:rFonts w:ascii="Times New Roman" w:cs="Times New Roman" w:eastAsia="Times New Roman" w:hAnsi="Times New Roman"/>
          <w:sz w:val="18"/>
          <w:szCs w:val="18"/>
          <w:color w:val="auto"/>
        </w:rPr>
      </w:pPr>
    </w:p>
    <w:p>
      <w:pPr>
        <w:ind w:left="900" w:hanging="446"/>
        <w:spacing w:after="0" w:line="274"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78" w:lineRule="exact"/>
        <w:rPr>
          <w:rFonts w:ascii="Times New Roman" w:cs="Times New Roman" w:eastAsia="Times New Roman" w:hAnsi="Times New Roman"/>
          <w:sz w:val="17"/>
          <w:szCs w:val="17"/>
          <w:color w:val="auto"/>
        </w:rPr>
      </w:pPr>
    </w:p>
    <w:p>
      <w:pPr>
        <w:ind w:left="900" w:hanging="446"/>
        <w:spacing w:after="0" w:line="254"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inbound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could increase the costs of our inbound platform and adversely impact our business.</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inbound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could harm our business.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84"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For example, on November 13, 2013, a putative class action complaint was filed in the Middlesex County Superior Court in the Commonwealth of Massachusetts, entitled Albert McCormack v. HubSpot, Inc. The complaint alleges that we maintained a policy of not paying overtime to our business development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representatives for all hours worked in excess of 40 hours per week. The complaint seeks unpaid wages, multiple damages, injunctive relief, attorneys’ fees and costs. This matter is in its early stages, but there can be no assurance that this matter will not have a material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adversely affect our profitability.</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2013, we had federal and state net operating loss carryforwards due to prior period losses, which, if not utilized, will begin to expire in 2027 for federal purposes and 2014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This offering or future issuances of our stock could cause an ownership change. It is possible that an ownership change in connection with this offering, or any future ownership change, could have a material effect on the use of our net operating loss carryforwards or other tax attributes, which could adversely affect our profitability.</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that private entities use to regulate the use of email have in the past interfered with, and may in the future interfere with, the effectiveness of our inbound platform and our ability to conduct business.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inbound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federal, state and foreign laws regulate Internet tracking software, the senders of commercial emails and text messages, website owners and other activities, and could impact the use of our inbound platform and potentially subject us to regulatory enforcement or private litigation.</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inbound platform and could impair our attractiveness to customers, which would harm our business.</w:t>
      </w:r>
    </w:p>
    <w:p>
      <w:pPr>
        <w:spacing w:after="0" w:line="18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inbound platform to decrease and adversely impact our financial results.</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inbound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Condition</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86"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on marketing software by our current or prospective customers;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inbound platform subscriptions effectively so that we are able to attract and retain customers without compromising our profitability;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increasing our existing customers’ use of our platform and providing our customers with excellent customer support;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amounts for which agreements are renewed;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awareness of our thought leadership and brand;</w:t>
      </w:r>
    </w:p>
    <w:p>
      <w:pPr>
        <w:spacing w:after="0" w:line="130"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commission plans, quotas and other compensation-related metrics for our sales representatives;</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30" w:lineRule="exact"/>
        <w:rPr>
          <w:rFonts w:ascii="Times New Roman" w:cs="Times New Roman" w:eastAsia="Times New Roman" w:hAnsi="Times New Roman"/>
          <w:sz w:val="18"/>
          <w:szCs w:val="18"/>
          <w:color w:val="auto"/>
        </w:rPr>
      </w:pPr>
    </w:p>
    <w:p>
      <w:pPr>
        <w:ind w:left="900" w:right="82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inbound platform in new markets outside of the United States;</w:t>
      </w:r>
    </w:p>
    <w:p>
      <w:pPr>
        <w:spacing w:after="0" w:line="67"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 including disruptions in our hosting network infrastructure and privacy and data security;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5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offer our inbound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face exposure to movements in currency exchange rates, which may cause our revenue and operating results to differ materially from expectations. Our operating results could be negatively affected depending on the amount of expense denominated in foreign currencies, primarily the Euro.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our common stock and an active market may not develop or be sustained, and you may not be able to resell your shares at or above the initial public offering price, if at all.</w:t>
      </w:r>
    </w:p>
    <w:p>
      <w:pPr>
        <w:spacing w:after="0" w:line="5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The initial public offering price for our common stock has been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closing of this offering or, if it does develop, it may not be sustainable, which could adversely affect your ability to sell your shares and could depress the market price of our common stock.</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regardless of our operating performance resulting in substantial losses for investors purchasing shares in this offering.</w:t>
      </w:r>
    </w:p>
    <w:p>
      <w:pPr>
        <w:spacing w:after="0" w:line="5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including providers of software via the cloud-based model, have been highly volatile. The market price of our common stock may fluctuate significantly in response to numerous factors, many of which are beyond our control, including:</w:t>
      </w:r>
    </w:p>
    <w:p>
      <w:pPr>
        <w:spacing w:after="0" w:line="67" w:lineRule="exact"/>
        <w:rPr>
          <w:sz w:val="20"/>
          <w:szCs w:val="20"/>
          <w:color w:val="auto"/>
        </w:rPr>
      </w:pPr>
    </w:p>
    <w:p>
      <w:pPr>
        <w:ind w:left="900" w:right="68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 including as a result of the addition or loss of any number of customers;</w:t>
      </w:r>
    </w:p>
    <w:p>
      <w:pPr>
        <w:spacing w:after="0" w:line="67" w:lineRule="exact"/>
        <w:rPr>
          <w:rFonts w:ascii="Times New Roman" w:cs="Times New Roman" w:eastAsia="Times New Roman" w:hAnsi="Times New Roman"/>
          <w:sz w:val="18"/>
          <w:szCs w:val="18"/>
          <w:color w:val="auto"/>
        </w:rPr>
      </w:pPr>
    </w:p>
    <w:p>
      <w:pPr>
        <w:ind w:left="900" w:right="64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cloud-based software or other technology companies, or those in our industry in particular;</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trading of our common stock and in the overall stock market, including as a result of trends in the economy as a whole;</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or industry, including data privacy and data security;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economic, industry and market conditions and trends.</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76"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8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capital stock ownership with insiders will likely limit your ability to influence corporate matters including the ability to influence the outcome of director elections and other matters requiring stockholder approval.</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anticipate that our executive officers, directors, current five percent or greater stockholders and affiliated entities will together beneficially own approximately % of our common stock outstanding after this offering. As a result, these stockholders, acting together, will have significant influence over all matters that require approval by our stockholders, including the election of directors and approval of significant corporate transactions. Corporate action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2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financial disclosure obligations, reduced disclosure obligations regarding executive compensation in our periodic reports and proxy statements, and exemptions from the requirements of holding a nonbinding advisory vote on executive compensation and any golden parachute payments not previously approved. As an “emerging growth company” under the JOBS Act, we are permitted to delay the adoption of new or revised accounting pronouncements applicable to public companies until such pronouncements are made applicable to private companies. However, we are electing not 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would cease to be an “emerging growth company” upon the earliest to occur of: the last day of the fiscal year in which we have more than $1.0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this offering. If we take advantage of any of these reduced reporting burdens in future filings, the information that we provide our security holders may be different than you might get from other public companies in which you hold equity interests.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51" w:lineRule="exact"/>
        <w:rPr>
          <w:sz w:val="20"/>
          <w:szCs w:val="20"/>
          <w:color w:val="auto"/>
        </w:rPr>
      </w:pPr>
    </w:p>
    <w:p>
      <w:pPr>
        <w:ind w:right="100" w:firstLine="456"/>
        <w:spacing w:after="0" w:line="272" w:lineRule="auto"/>
        <w:rPr>
          <w:sz w:val="20"/>
          <w:szCs w:val="20"/>
          <w:color w:val="auto"/>
        </w:rPr>
      </w:pPr>
      <w:r>
        <w:rPr>
          <w:rFonts w:ascii="Times New Roman" w:cs="Times New Roman" w:eastAsia="Times New Roman" w:hAnsi="Times New Roman"/>
          <w:sz w:val="17"/>
          <w:szCs w:val="17"/>
          <w:color w:val="auto"/>
        </w:rPr>
        <w:t>As a public company, and particularly after we cease to be an “emerging growth company,” we will incur significant legal, accounting and other expenses than we incurred as a private company. We are subject to the reporting requirements of the Securities Exchange Act of 1934, as amended, or the Exchange Act, the Sarbanes-Oxley Act of 2002, or the Sarbanes-Oxley Act, the Dodd-Frank Wall Street Reform and Consumer Protection Act, or the Dodd-</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Frank Act, and the rules and regulations of .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8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in 2015,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We have identified certain internal control deficiencies surrounding our systems and closing process. We have and will continue to remediate these deficiencies by investing in our financial systems and adding additional personnel, including outside consultants.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or sooner if we choose not to take advantage of certain exemptions set forth in the JOBS Act, we expect to incur significant expenses and devote substantial management effort toward ensuring compliance with the auditor attestation requirements of Section 404 of the Sarbanes-Oxley Act. In that regard, we will need to hire additional accounting and financial staff with appropriate public company experience and technical accounting knowledge.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pacing w:after="0" w:line="176"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Upon completion of this offering, based on the number of shares outstanding as of March 31, 2014, we will have outstanding shares of common stock, assuming no exercise of outstanding options or warrants. Of these shares, the shares sold in this offering will be immediately freely tradable, and approximately additional shares of common stock will be available for sale in the public market beginning 180 days after the date of this</w:t>
      </w:r>
    </w:p>
    <w:p>
      <w:pPr>
        <w:spacing w:after="0" w:line="2"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promptly following the completion of this offering, we intend to file one or more registration statements on Form S-8 registering the</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issuance of approximately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Securities Act Rule 144 in the case of our affiliates.</w:t>
      </w:r>
    </w:p>
    <w:p>
      <w:pPr>
        <w:spacing w:after="0" w:line="18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Additionally, after this offering, the holders of an aggregate of shares of our common stock will have rights, subject to some conditions, to require us to file one or more registration statements covering their shares or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include their shares in registration statements that we may file for ourselves or other stockholders. If we were to register these shares for resale, they could be freely sold in the public market. If these additional shares are sold, or if it is perceived that they will be sold, in the public market, the trading price of our common stock could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our directed share program who have executed a lock-up agreement with the underwriters must hold their shares for a minimum of</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180 days following the date of the final prospectus related to this offering and accordingly will be subject to market risks not imposed on other investors in the offering.</w:t>
      </w:r>
    </w:p>
    <w:p>
      <w:pPr>
        <w:spacing w:after="0" w:line="7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At our request, the underwriters have reserved up to shares of the common stock offered hereby for sale to our directors, officers, employees and certain individuals associated with our company. Purchasers of these shares who have entered into a lock-up agreement with the underwriters will not, subject to exceptions, be able to offer, sell, contract to sell or otherwise dispose of or hedge any such shares for a period of 180 days after the date of the final prospectus relating to this offering, subject to certain specified extensions. As a result of such restriction, such purchasers may face risks not faced by other investors who have the right to sell their shares at any time following the offering (including other participants in the directed share program who have not executed a look-up agreement with the underwriters). These risks include the market risk of holding our shares during the period that such restrictions are in effect.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you will experience substantial and immediate dilution.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substantial and immediate dilution in the pro forma net tangible book</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value per share after giving effect to this offering, based on an assumed public offering price of $ per share, which is the midpoint of the estimated offering price range set forth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any warrant, upon exercise of options to purchase common stock under our equity incentive plans, vesting of restricted stock units issued to our employees, if we further issue restricted stock to our employees under our equity incentive plans or if we otherwise issue additional shares of our common stock. For a further description of the dilution that you will experience immediately after this offering, see “Dilution”.</w:t>
      </w:r>
    </w:p>
    <w:p>
      <w:pPr>
        <w:spacing w:after="0" w:line="29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from this offering and, and you will be relying on the judgment of our management regarding the application of these proceeds. Our management might not apply the net proceeds in ways that increase the value of your investment. We intend to use the net proceeds for working capital and other general corporate purposes. We may use a portion of the net proceeds to us to expand our current business through acquisitions of other businesses, products and technologies. Until we use the net proceeds from this offering, we plan to invest them, and these investments may not yield a favorable rate of return. If we do not invest or apply the net proceeds from this offering in ways that enhance stockholder value, we may fail to achieve expected financial results, which could cause our stock price to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may delay or prevent an acquisition of our company.</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2" w:lineRule="exact"/>
        <w:rPr>
          <w:sz w:val="20"/>
          <w:szCs w:val="20"/>
          <w:color w:val="auto"/>
        </w:rPr>
      </w:pPr>
    </w:p>
    <w:p>
      <w:pPr>
        <w:ind w:left="900" w:right="22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the chief executive officer or the president;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3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20"/>
          </w:cols>
          <w:pgMar w:left="24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federal securities laws, and these statements involve substantial risks and uncertainties.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3"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margin and operating expenses;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customer base and increasing our average subscription revenue per customer;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expectations regarding our ability to manage our future growth;</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inbound marketing thought leadership position;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corporate culture and our ability to attract, hire and retain necessary qualified employees to expand our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 on our business of litigation to which we are or may become a party;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application of the net proceeds from this offering.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prospectus contains estimates and other statistical data, including those relating to our industry and the market in which we operate, that we have obtained or derived from industry publications and reports, including reports from AMI Partners, Corporate Executive Board (CEB), Dimensional Research, International Data Corporation (IDC), Mintigo, Nielsen and NM Incite. These industry publications and reports generally indicate that they have obtained their information from sources believed to be reliable, but do not guarantee the accuracy and completeness of their information. This information involves a number of assumptions and limitations, and you are cautioned not to give undue weight to these estimates, as there is no assurance that any of them will be reached. Based on our industry experience, we believe that the publications and reports are reliable and that the conclusions contained in the publications and reports are reasonable. The industry in which we operate is subject to a high degree of uncertainty and risk due to a variety of factors, including those described in the section titled “Risk Factors.” These and other factors could cause our actual results to differ materially from those expressed in the industry publications and reports.</w:t>
      </w:r>
    </w:p>
    <w:p>
      <w:pPr>
        <w:spacing w:after="0" w:line="18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This prospectus also contains information regarding the average increase in inbound leads experienced by our customers. We analyzed monthly user data analytics from 2012 and 2013 for 3,067 of our customers with between 10 and 2,000 employees, and compared data beginning in a customer’s third month using our platform against data in a customer’s twelfth month using our platform, to measure increases in the volume of inbound leads. “Leads” are defined as website visitors whose information and activities are captured by our platform’s lead tracking tool. Data was excluded for any months where the increase was greater than 500% and for customers that generated 10 or fewer leads. We believe these results are representative of the results experienced by our customers with between 10 and 2,000 employees.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240" w:top="455"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4220" w:type="dxa"/>
            <w:vAlign w:val="bottom"/>
            <w:gridSpan w:val="2"/>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Table of Contents</w:t>
              </w:r>
            </w:hyperlink>
          </w:p>
        </w:tc>
        <w:tc>
          <w:tcPr>
            <w:tcW w:w="6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63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0" w:type="dxa"/>
            <w:vAlign w:val="bottom"/>
          </w:tcPr>
          <w:p>
            <w:pPr>
              <w:spacing w:after="0"/>
              <w:rPr>
                <w:sz w:val="24"/>
                <w:szCs w:val="24"/>
                <w:color w:val="auto"/>
              </w:rPr>
            </w:pPr>
          </w:p>
        </w:tc>
      </w:tr>
      <w:tr>
        <w:trPr>
          <w:trHeight w:val="414"/>
        </w:trPr>
        <w:tc>
          <w:tcPr>
            <w:tcW w:w="105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 common stock that we are selling in this offering will be approximately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w:t>
            </w: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upon an assumed initial public offering price of $</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per share, which is the midpoint of the estimated offering price range set forth on the cover page</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prospectus, and after deducting estimated underwriting discounts and commissions and estimated offering expenses payable by us. If the underwriters’</w:t>
      </w:r>
    </w:p>
    <w:p>
      <w:pPr>
        <w:spacing w:after="0" w:line="200" w:lineRule="exact"/>
        <w:rPr>
          <w:sz w:val="20"/>
          <w:szCs w:val="20"/>
          <w:color w:val="auto"/>
        </w:rPr>
      </w:pPr>
    </w:p>
    <w:p>
      <w:pPr>
        <w:spacing w:after="0" w:line="2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from us is exercised in full, we estimate that our net proceeds would be approximately $ million, after deducting estimated underwriting discounts and commissions and estimated offering expenses payable by us.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would increase or decrease the net proceeds that we receive from this offering by approximately $ million, assuming that the number of shares offered by us, as set forth on the cover page of this prospectus,</w:t>
      </w:r>
    </w:p>
    <w:p>
      <w:pPr>
        <w:ind w:right="520"/>
        <w:spacing w:after="0" w:line="250" w:lineRule="auto"/>
        <w:rPr>
          <w:sz w:val="20"/>
          <w:szCs w:val="20"/>
          <w:color w:val="auto"/>
        </w:rPr>
      </w:pPr>
      <w:r>
        <w:rPr>
          <w:rFonts w:ascii="Times New Roman" w:cs="Times New Roman" w:eastAsia="Times New Roman" w:hAnsi="Times New Roman"/>
          <w:sz w:val="18"/>
          <w:szCs w:val="18"/>
          <w:color w:val="auto"/>
        </w:rPr>
        <w:t>remains the same and after deducting the estimated underwriting discounts and commissions payable by us. Similarly, each increase or decrease of one million in the number of shares of common stock offered by us would increase or decrease the net proceeds that we receive from this offering by</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approximately $ million, assuming the assumed initial public offering price remains the same and after deducting the estimated underwriting discounts and commissions payable by us.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principal reasons for this offering are to create a public market for shares of our common stock and to facilitate our future access to public equity markets. We have not quantified or allocated any specific portion of the net proceeds or range of the net proceeds to any particular purpose. We anticipate that we will use the net proceeds we receive from this offering, including any net proceeds we receive from the exercise of the underwriters’ option to acquire additional shares of common stock in this offering, for general corporate purposes, including investing further in our sales and marketing and research and development efforts and payment of anticipated general and administrative expenses. We also intend to use proceeds from this offering to fund our growth strategies described elsewhere in this prospectus. We may use a portion of the net proceeds for the acquisition of businesses, technologies or other assets that we believe are complementary to our own, although we have no agreements, commitments or understandings with respect to any such transaction.</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amount of what, and timing of when, we actually spend for these purposes may vary significantly and will depend on a number of factors, including our future revenue and cash generated by operations and the other factors described in the section of this prospectus captioned “Risk Factors.” Accordingly, our management will have broad discretion in applying a portion of the net proceeds of this offering. Pending these uses, we intend to invest the remaining net proceeds in high quality, investment-grade instruments.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46"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or any other securities.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the provision of then-existing debt instruments and other factors that our board of directors may deem relevant. In addition, our credit facility prohibits, and future debt instruments may materially restrict, us from declaring or paying cash dividends on our capital stock.</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as of March 31, 2014:</w:t>
      </w:r>
    </w:p>
    <w:p>
      <w:pPr>
        <w:spacing w:after="0" w:line="131"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900" w:right="400" w:hanging="446"/>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(1) the conversion of all outstanding shares of our convertible preferred stock into 58,589,218 shares of our common stock, which will occur upon the closing of this offering, and (2) the filing of our amended and restated certificate of incorporation, which will occur upon the closing of this offering; and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pro forma adjustments described above and our receipt of the net proceeds from our sale of</w:t>
      </w:r>
    </w:p>
    <w:p>
      <w:pPr>
        <w:spacing w:after="0" w:line="27" w:lineRule="exact"/>
        <w:rPr>
          <w:sz w:val="20"/>
          <w:szCs w:val="20"/>
          <w:color w:val="auto"/>
        </w:rPr>
      </w:pPr>
    </w:p>
    <w:p>
      <w:pPr>
        <w:jc w:val="both"/>
        <w:ind w:left="900" w:right="60"/>
        <w:spacing w:after="0" w:line="255" w:lineRule="auto"/>
        <w:rPr>
          <w:sz w:val="20"/>
          <w:szCs w:val="20"/>
          <w:color w:val="auto"/>
        </w:rPr>
      </w:pPr>
      <w:r>
        <w:rPr>
          <w:rFonts w:ascii="Times New Roman" w:cs="Times New Roman" w:eastAsia="Times New Roman" w:hAnsi="Times New Roman"/>
          <w:sz w:val="18"/>
          <w:szCs w:val="18"/>
          <w:color w:val="auto"/>
        </w:rPr>
        <w:t>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and the application of the net proceeds to us from such sale.</w:t>
      </w:r>
    </w:p>
    <w:p>
      <w:pPr>
        <w:spacing w:after="0" w:line="18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information below is illustrative only and our cash and capitalization following the completion of this offering will be adjusted based on the actual initial public offering price and other terms of this offering determined at pricing. You should read this table together with “Management’s Discussion and Analysis of Financial Condition and Results of Operations” and our consolidated financial statements and the related notes appearing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6"/>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8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7,967</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7,967</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58,589,218 shares authorized, 58,589,218 shares</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gridSpan w:val="6"/>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issued and outstanding, actual; no shares authorized, issued and outstanding, pro forma; no shares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authorized, issued, and outstanding, pro forma as adjusted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101,305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8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4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17,010,846 shares issued and</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outstanding, actual;</w:t>
            </w:r>
          </w:p>
        </w:tc>
        <w:tc>
          <w:tcPr>
            <w:tcW w:w="800" w:type="dxa"/>
            <w:vAlign w:val="bottom"/>
          </w:tcPr>
          <w:p>
            <w:pPr>
              <w:spacing w:after="0"/>
              <w:rPr>
                <w:sz w:val="17"/>
                <w:szCs w:val="17"/>
                <w:color w:val="auto"/>
              </w:rPr>
            </w:pP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shares authorized, 75,600,064 shares issued and outstanding, pro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forma;</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authorized,</w:t>
            </w:r>
          </w:p>
        </w:tc>
        <w:tc>
          <w:tcPr>
            <w:tcW w:w="47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shares issued and outstanding, pro forma as adjusted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76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15,400</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116,646</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(80)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8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(115,537)</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8"/>
              </w:rPr>
              <w:t>(115,537)</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4"/>
          </w:tcPr>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(100,200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70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8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9,072</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9,072</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920" w:type="dxa"/>
            <w:vAlign w:val="bottom"/>
            <w:gridSpan w:val="3"/>
          </w:tcPr>
          <w:p>
            <w:pPr>
              <w:spacing w:after="0"/>
              <w:rPr>
                <w:sz w:val="11"/>
                <w:szCs w:val="11"/>
                <w:color w:val="auto"/>
              </w:rPr>
            </w:pPr>
          </w:p>
        </w:tc>
        <w:tc>
          <w:tcPr>
            <w:tcW w:w="534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A $1.00 increase (decrease) in the assumed initial public offering price of $</w:t>
            </w:r>
          </w:p>
        </w:tc>
        <w:tc>
          <w:tcPr>
            <w:tcW w:w="534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per share, the midpoint of the range set forth on the cover page of this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prospectus, would increase (decrease) cash, total stockholders’ equity (deficit) and total capitalization by $</w:t>
            </w:r>
          </w:p>
        </w:tc>
        <w:tc>
          <w:tcPr>
            <w:tcW w:w="2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million, assuming that the number of</w:t>
            </w:r>
          </w:p>
        </w:tc>
        <w:tc>
          <w:tcPr>
            <w:tcW w:w="0" w:type="dxa"/>
            <w:vAlign w:val="bottom"/>
          </w:tcPr>
          <w:p>
            <w:pPr>
              <w:spacing w:after="0"/>
              <w:rPr>
                <w:sz w:val="1"/>
                <w:szCs w:val="1"/>
                <w:color w:val="auto"/>
              </w:rPr>
            </w:pPr>
          </w:p>
        </w:tc>
      </w:tr>
    </w:tbl>
    <w:p>
      <w:pPr>
        <w:ind w:left="460" w:right="220"/>
        <w:spacing w:after="0" w:line="230" w:lineRule="auto"/>
        <w:rPr>
          <w:sz w:val="20"/>
          <w:szCs w:val="20"/>
          <w:color w:val="auto"/>
        </w:rPr>
      </w:pPr>
      <w:r>
        <w:rPr>
          <w:rFonts w:ascii="Times New Roman" w:cs="Times New Roman" w:eastAsia="Times New Roman" w:hAnsi="Times New Roman"/>
          <w:sz w:val="13"/>
          <w:szCs w:val="13"/>
          <w:color w:val="auto"/>
        </w:rPr>
        <w:t>shares offered by us, as set forth on the cover page of this prospectus, remains the same, and after deducting estimated underwriting discounts and commissions and estimated offering expenses payable by us. Each increase of 1.0 million shares in the number of shares offered by us, assuming that the assumed initial public offering price remains the same, would increase cash, total stockholders’ equity (deficit) and total capitalization by $ million. Similarly, each decrease of 1.0 million shares in the number of shares offered by us, assuming that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tabs>
          <w:tab w:leader="none" w:pos="8240" w:val="left"/>
        </w:tabs>
        <w:rPr>
          <w:sz w:val="20"/>
          <w:szCs w:val="20"/>
          <w:color w:val="auto"/>
        </w:rPr>
      </w:pPr>
      <w:r>
        <w:rPr>
          <w:rFonts w:ascii="Times New Roman" w:cs="Times New Roman" w:eastAsia="Times New Roman" w:hAnsi="Times New Roman"/>
          <w:sz w:val="18"/>
          <w:szCs w:val="18"/>
          <w:color w:val="auto"/>
        </w:rPr>
        <w:t>remains the same, would decrease cash, total stockholders’ equity (deficit) and total capitalization by $</w:t>
      </w:r>
      <w:r>
        <w:rPr>
          <w:sz w:val="20"/>
          <w:szCs w:val="20"/>
          <w:color w:val="auto"/>
        </w:rPr>
        <w:tab/>
      </w:r>
      <w:r>
        <w:rPr>
          <w:rFonts w:ascii="Times New Roman" w:cs="Times New Roman" w:eastAsia="Times New Roman" w:hAnsi="Times New Roman"/>
          <w:sz w:val="18"/>
          <w:szCs w:val="18"/>
          <w:color w:val="auto"/>
        </w:rPr>
        <w:t>million.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75,600,064 shares of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and excludes:</w:t>
      </w:r>
    </w:p>
    <w:p>
      <w:pPr>
        <w:spacing w:after="0" w:line="112" w:lineRule="exact"/>
        <w:rPr>
          <w:sz w:val="20"/>
          <w:szCs w:val="20"/>
          <w:color w:val="auto"/>
        </w:rPr>
      </w:pPr>
    </w:p>
    <w:p>
      <w:pPr>
        <w:ind w:left="900" w:right="12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14,199,193 shares of common stock issuable upon the exercise of stock options outstanding as of March 31, 2014 with a weighted-average exercise price of $2.58 per share;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3,268,562 shares of common stock subject to RSUs outstanding as of March 31, 2014;</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39,474 shares of common stock issuable upon the exercise of warrants outstanding as of March 31, 2014 with an exercise price of $1.90 per share;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1,824,514 shares of common stock reserved for future issuance under our 2007 Plan as of March 31, 2014; and</w:t>
      </w:r>
    </w:p>
    <w:p>
      <w:pPr>
        <w:spacing w:after="0" w:line="131" w:lineRule="exact"/>
        <w:rPr>
          <w:sz w:val="20"/>
          <w:szCs w:val="20"/>
          <w:color w:val="auto"/>
        </w:rPr>
      </w:pPr>
    </w:p>
    <w:p>
      <w:pPr>
        <w:ind w:left="900" w:hanging="445"/>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shares of common stock reserved for future issuance under our 2014 Plan and shares of common stock reserved for issuance under our 2014 ESPP, each of which will become effective in connection with this offering and contains provisions that will automatically increase its respective shares reserved each year, as more fully described in “Executive Compensation—Employee Benefit Plans.”</w:t>
      </w:r>
    </w:p>
    <w:p>
      <w:pPr>
        <w:spacing w:after="0" w:line="1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240" w:top="455" w:right="6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456"/>
        <w:spacing w:after="0" w:line="281"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tangible book value per share is determined by dividing our total tangible assets less our total liabilities by the number of shares of common stock</w:t>
      </w:r>
    </w:p>
    <w:p>
      <w:pPr>
        <w:spacing w:after="0" w:line="27"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outstanding. Our historical net tangible book value (deficit) as of March 31, 2014 was $ million, or $ per share. Our pro forma net tangible book value (deficit) as of March 31, 2014 was $ million, or $ per share, based on the total number of shares of our common stock outstanding as of</w:t>
      </w:r>
    </w:p>
    <w:p>
      <w:pPr>
        <w:spacing w:after="0" w:line="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March 31, 2014, after giving effect to the automatic conversion of all outstanding shares of our convertible preferred stock as of March 31, 2014 into an aggregate of shares of common stock, which conversion will occur upon the completion of this offering.</w:t>
      </w:r>
    </w:p>
    <w:p>
      <w:pPr>
        <w:spacing w:after="0" w:line="180"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color w:val="auto"/>
        </w:rPr>
        <w:t>After giving effect to the sale by us of shares of common stock in this offering at the assumed initial public offering price of $ 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March 31, 2014 would</w:t>
      </w:r>
    </w:p>
    <w:tbl>
      <w:tblPr>
        <w:tblLayout w:type="fixed"/>
        <w:tblInd w:w="0" w:type="dxa"/>
        <w:tblCellMar>
          <w:top w:w="0" w:type="dxa"/>
          <w:left w:w="0" w:type="dxa"/>
          <w:bottom w:w="0" w:type="dxa"/>
          <w:right w:w="0" w:type="dxa"/>
        </w:tblCellMar>
      </w:tblPr>
      <w:tr>
        <w:trPr>
          <w:trHeight w:val="199"/>
        </w:trPr>
        <w:tc>
          <w:tcPr>
            <w:tcW w:w="10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have been $</w:t>
            </w:r>
          </w:p>
        </w:tc>
        <w:tc>
          <w:tcPr>
            <w:tcW w:w="14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million, or $</w:t>
            </w:r>
          </w:p>
        </w:tc>
        <w:tc>
          <w:tcPr>
            <w:tcW w:w="672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8"/>
                <w:szCs w:val="18"/>
                <w:color w:val="auto"/>
              </w:rPr>
              <w:t>per share. This represents an immediate increase in pro forma net tangible book value of $</w:t>
            </w:r>
          </w:p>
        </w:tc>
        <w:tc>
          <w:tcPr>
            <w:tcW w:w="2140" w:type="dxa"/>
            <w:vAlign w:val="bottom"/>
            <w:gridSpan w:val="5"/>
          </w:tcPr>
          <w:p>
            <w:pPr>
              <w:ind w:left="200"/>
              <w:spacing w:after="0" w:line="200" w:lineRule="exact"/>
              <w:rPr>
                <w:sz w:val="20"/>
                <w:szCs w:val="20"/>
                <w:color w:val="auto"/>
              </w:rPr>
            </w:pPr>
            <w:r>
              <w:rPr>
                <w:rFonts w:ascii="Times New Roman" w:cs="Times New Roman" w:eastAsia="Times New Roman" w:hAnsi="Times New Roman"/>
                <w:sz w:val="18"/>
                <w:szCs w:val="18"/>
                <w:color w:val="auto"/>
              </w:rPr>
              <w:t>per share to our existing</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and immediate dilution of $</w:t>
            </w:r>
          </w:p>
        </w:tc>
        <w:tc>
          <w:tcPr>
            <w:tcW w:w="8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per share to investors purchasing shares of common stock in this offering at the assumed initial public offering</w:t>
            </w:r>
          </w:p>
        </w:tc>
        <w:tc>
          <w:tcPr>
            <w:tcW w:w="0" w:type="dxa"/>
            <w:vAlign w:val="bottom"/>
          </w:tcPr>
          <w:p>
            <w:pPr>
              <w:spacing w:after="0"/>
              <w:rPr>
                <w:sz w:val="1"/>
                <w:szCs w:val="1"/>
                <w:color w:val="auto"/>
              </w:rPr>
            </w:pPr>
          </w:p>
        </w:tc>
      </w:tr>
      <w:tr>
        <w:trPr>
          <w:trHeight w:val="234"/>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 The following table illustrates this dilution:</w:t>
            </w:r>
          </w:p>
        </w:tc>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40" w:type="dxa"/>
            <w:vAlign w:val="bottom"/>
            <w:gridSpan w:val="3"/>
          </w:tcPr>
          <w:p>
            <w:pPr>
              <w:spacing w:after="0"/>
              <w:rPr>
                <w:sz w:val="21"/>
                <w:szCs w:val="21"/>
                <w:color w:val="auto"/>
              </w:rPr>
            </w:pPr>
          </w:p>
        </w:tc>
        <w:tc>
          <w:tcPr>
            <w:tcW w:w="30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Assumed initial public offering price per share</w:t>
            </w:r>
          </w:p>
        </w:tc>
        <w:tc>
          <w:tcPr>
            <w:tcW w:w="30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2014</w:t>
            </w:r>
          </w:p>
        </w:tc>
        <w:tc>
          <w:tcPr>
            <w:tcW w:w="288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2014</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8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20" w:type="dxa"/>
            <w:vAlign w:val="bottom"/>
            <w:gridSpan w:val="3"/>
          </w:tcPr>
          <w:p>
            <w:pPr>
              <w:spacing w:after="0"/>
              <w:rPr>
                <w:sz w:val="19"/>
                <w:szCs w:val="19"/>
                <w:color w:val="auto"/>
              </w:rPr>
            </w:pP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3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p>
        </w:tc>
        <w:tc>
          <w:tcPr>
            <w:tcW w:w="50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per share, which is the midpoint of the estimated offering price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as applicable, our pro forma as adjusted net tangible book value per share to</w:t>
      </w:r>
    </w:p>
    <w:p>
      <w:pPr>
        <w:spacing w:after="0" w:line="9"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3"/>
          <w:szCs w:val="13"/>
          <w:color w:val="auto"/>
        </w:rPr>
        <w:t>new investors by $ , and would increase or decrease, as applicable, dilution per share to new investors in this offering by $ , assuming that the number of shares offered by us, as set forth on the cover page of this prospectus, remains the same and after deducting estimated underwriting discounts and commissions payable by us. In addition, to the extent any outstanding options to purchase common stock are exercised, new investors would experience further dilution. If the underwriters exercise their option to purchase additional shares from us in full, the pro forma as adjusted net tangible book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 of our common stock immediately after this offering would be $ per share, and the dilution in pro forma net tangible book value per share to new investors in this offering would be $ per share.</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presents, on a pro forma as adjusted basis as of March 31, 2014, after giving effect to the conversion of all outstanding shares of convertible preferred stock into common stock upon the completion of this offering,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common stock and convertible preferred stock, cash received from the exercise of stock options, and the average price per share paid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or to be paid to us at an assumed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3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65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 underwriters exercise their option to purchase additional shares in full from us, our existing stockholders would own % and our new investors would own</w:t>
      </w:r>
    </w:p>
    <w:p>
      <w:pPr>
        <w:ind w:left="180"/>
        <w:spacing w:after="0"/>
        <w:rPr>
          <w:sz w:val="20"/>
          <w:szCs w:val="20"/>
          <w:color w:val="auto"/>
        </w:rPr>
      </w:pPr>
      <w:r>
        <w:rPr>
          <w:rFonts w:ascii="Times New Roman" w:cs="Times New Roman" w:eastAsia="Times New Roman" w:hAnsi="Times New Roman"/>
          <w:sz w:val="18"/>
          <w:szCs w:val="18"/>
          <w:color w:val="auto"/>
        </w:rPr>
        <w:t>% of the total number of shares of our common stock outstanding upon the completion of this offering.</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75,600,064 shares of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and excludes:</w:t>
      </w:r>
    </w:p>
    <w:p>
      <w:pPr>
        <w:spacing w:after="0" w:line="112" w:lineRule="exact"/>
        <w:rPr>
          <w:sz w:val="20"/>
          <w:szCs w:val="20"/>
          <w:color w:val="auto"/>
        </w:rPr>
      </w:pPr>
    </w:p>
    <w:p>
      <w:pPr>
        <w:ind w:left="900" w:right="52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14,199,193 shares of common stock issuable upon the exercise of stock options outstanding as of March 31, 2014 with a weighted-average exercise price of $2.58 per share;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3,268,562 shares of common stock subject to RSUs outstanding as of March 31, 2014;</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39,474 shares of common stock issuable upon the exercise of warrants outstanding as of March 31, 2014 with an exercise price of $1.90 per share;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1,824,514 shares of common stock reserved for future issuance under our 2007 Plan as of March 31, 2014; and</w:t>
      </w:r>
    </w:p>
    <w:p>
      <w:pPr>
        <w:spacing w:after="0" w:line="131" w:lineRule="exact"/>
        <w:rPr>
          <w:sz w:val="20"/>
          <w:szCs w:val="20"/>
          <w:color w:val="auto"/>
        </w:rPr>
      </w:pPr>
    </w:p>
    <w:p>
      <w:pPr>
        <w:ind w:left="900" w:right="360" w:hanging="445"/>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shares of common stock reserved for future issuance under our 2014 Plan, and shares of common stock reserved for issuance under our 2014 ESPP, each of which will become effective in connection with this offering and contains provisions that will automatically increase its respective shares reserved each year, as more fully described in “Executive Compensation—Employee Benefit Plans.”</w:t>
      </w:r>
    </w:p>
    <w:p>
      <w:pPr>
        <w:spacing w:after="0" w:line="176"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and restricted stock units are settled,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You should read the selected consolidated financial data below in conjunction with “Management’s discussion and analysis of financial condition and results of operations” and the consolidated financial statements, related notes and other financial information included elsewhere in this prospectus. The selected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18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following selected consolidated statements of operations data for the years ended December 31, 2011, 2012 and 2013 and the consolidated balance sheet data as of December 31, 2012 and 2013 have been derived from our audited consolidated financial statements included elsewhere in this prospectus. The consolidated statements of operations data for the years ended December 31, 2009 and 2010 and the consolidated balance sheet data as of December 31, 2009, 2010 and 2011 has been derived from our unaudited consolidated financial statements not included in this prospectus. The consolidated statements of operations data for the three months ended March 31, 2013 and 2014 and the consolidated balance sheet data as of March 31, 2014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a fair presentation of the financial information set forth in those statements included elsewhere in this prospectus. Certain amounts set forth below for the years ended December 31, 2009, 2010, 2011 and 2012 have been adjusted for the retrospective change in accounting policy for sales commissions (See Note 2 of the consolidated financial statements). Our historical results are not necessarily indicative of the results that may be expected in the future.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7"/>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$ 13,636</w:t>
            </w:r>
          </w:p>
        </w:tc>
        <w:tc>
          <w:tcPr>
            <w:tcW w:w="3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$ 25,702</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$ 45,870</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$ 70,819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$15,244</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2,851</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5,734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6,815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640"/>
              <w:spacing w:after="0" w:line="202" w:lineRule="exact"/>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1,116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3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5,712</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10,834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20,280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640"/>
              <w:spacing w:after="0" w:line="216" w:lineRule="exact"/>
              <w:rPr>
                <w:sz w:val="20"/>
                <w:szCs w:val="20"/>
                <w:color w:val="auto"/>
              </w:rPr>
            </w:pPr>
            <w:r>
              <w:rPr>
                <w:rFonts w:ascii="Times New Roman" w:cs="Times New Roman" w:eastAsia="Times New Roman" w:hAnsi="Times New Roman"/>
                <w:sz w:val="15"/>
                <w:szCs w:val="15"/>
                <w:color w:val="auto"/>
              </w:rPr>
              <w:t>Professional services and other</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6,368</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6,004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8,759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16,473</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34,766</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48,595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CCEEFF"/>
          </w:tcPr>
          <w:p>
            <w:pPr>
              <w:ind w:left="640"/>
              <w:spacing w:after="0" w:line="205"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10,031</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10,585</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15,018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640"/>
              <w:spacing w:after="0" w:line="20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3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24,088</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34,949</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53,158</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11,604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6,769</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7,972</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14,669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12,251</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20,957</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17,879</w:t>
            </w:r>
          </w:p>
        </w:tc>
        <w:tc>
          <w:tcPr>
            <w:tcW w:w="3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5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(9,394)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(12,564)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(24,415)</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(18,740)</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(34,250)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(7,579)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(9,414)</w:t>
            </w:r>
          </w:p>
        </w:tc>
        <w:tc>
          <w:tcPr>
            <w:tcW w:w="0" w:type="dxa"/>
            <w:vAlign w:val="bottom"/>
          </w:tcPr>
          <w:p>
            <w:pPr>
              <w:spacing w:after="0"/>
              <w:rPr>
                <w:sz w:val="1"/>
                <w:szCs w:val="1"/>
                <w:color w:val="auto"/>
              </w:rPr>
            </w:pPr>
          </w:p>
        </w:tc>
      </w:t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expense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(9,393)</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(12,573)</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(24,411)</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(18,778)</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(34,274)</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(7,536)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Preferred stock accretion</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81</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Deemed dividends to investors</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973</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(9,490)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(12,696)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(25,471)</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(18,859)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(34,328)</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 (7,549)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 (9,477)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9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r>
              <w:rPr>
                <w:rFonts w:ascii="Times New Roman" w:cs="Times New Roman" w:eastAsia="Times New Roman" w:hAnsi="Times New Roman"/>
                <w:sz w:val="15"/>
                <w:szCs w:val="15"/>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(2.06)</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(1.34)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computing basic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loss per common share</w:t>
            </w:r>
            <w:r>
              <w:rPr>
                <w:rFonts w:ascii="Times New Roman" w:cs="Times New Roman" w:eastAsia="Times New Roman" w:hAnsi="Times New Roman"/>
                <w:sz w:val="15"/>
                <w:szCs w:val="15"/>
                <w:color w:val="auto"/>
              </w:rPr>
              <w:t>(2)</w:t>
            </w:r>
          </w:p>
        </w:tc>
        <w:tc>
          <w:tcPr>
            <w:tcW w:w="100" w:type="dxa"/>
            <w:vAlign w:val="bottom"/>
          </w:tcPr>
          <w:p>
            <w:pPr>
              <w:spacing w:after="0"/>
              <w:rPr>
                <w:sz w:val="20"/>
                <w:szCs w:val="20"/>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6"/>
              </w:rPr>
              <w:t>10,559</w:t>
            </w:r>
          </w:p>
        </w:tc>
        <w:tc>
          <w:tcPr>
            <w:tcW w:w="22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96"/>
              </w:rPr>
              <w:t>10,802</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12,346</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14,097</w:t>
            </w:r>
          </w:p>
        </w:tc>
        <w:tc>
          <w:tcPr>
            <w:tcW w:w="2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15,339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6"/>
              </w:rPr>
              <w:t>15,107</w:t>
            </w:r>
          </w:p>
        </w:tc>
        <w:tc>
          <w:tcPr>
            <w:tcW w:w="2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16,480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 (unaudited)</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common shares used in computing basic</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net loss per common share (unaudited)</w:t>
            </w:r>
            <w:r>
              <w:rPr>
                <w:rFonts w:ascii="Times New Roman" w:cs="Times New Roman" w:eastAsia="Times New Roman" w:hAnsi="Times New Roman"/>
                <w:sz w:val="15"/>
                <w:szCs w:val="15"/>
                <w:color w:val="auto"/>
              </w:rPr>
              <w:t>(3)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73,928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75,069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included in the consolidated statements of operations data above was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Subscription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1,484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144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287</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4,619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2,515</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3,464</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772</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60" w:hanging="452"/>
        <w:spacing w:after="0" w:line="261"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consolidated financial statements for further details on the calculation of basic and diluted net loss per share attributable to common stockholders.</w:t>
      </w:r>
    </w:p>
    <w:p>
      <w:pPr>
        <w:ind w:left="460" w:right="680" w:hanging="452"/>
        <w:spacing w:after="0" w:line="261"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consolidated financial statements for further details on the calculation of pro forma net loss per share attributable to common stockholders.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5420" w:type="dxa"/>
            <w:vAlign w:val="bottom"/>
          </w:tcPr>
          <w:p>
            <w:pPr>
              <w:spacing w:after="0"/>
              <w:rPr>
                <w:sz w:val="12"/>
                <w:szCs w:val="12"/>
                <w:color w:val="auto"/>
              </w:rPr>
            </w:pPr>
          </w:p>
        </w:tc>
        <w:tc>
          <w:tcPr>
            <w:tcW w:w="8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156"/>
        </w:trPr>
        <w:tc>
          <w:tcPr>
            <w:tcW w:w="5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gridSpan w:val="3"/>
          </w:tcPr>
          <w:p>
            <w:pPr>
              <w:jc w:val="center"/>
              <w:ind w:left="3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$ 17,218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$ 13,972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41,097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12,643</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18,005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2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39,934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19,816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65,651</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50,559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50,099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16,017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24,906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29,638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2,774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17,053</w:t>
            </w:r>
          </w:p>
        </w:tc>
        <w:tc>
          <w:tcPr>
            <w:tcW w:w="10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27,621</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42,514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48,994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32,668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w:t>
            </w:r>
          </w:p>
        </w:tc>
        <w:tc>
          <w:tcPr>
            <w:tcW w:w="12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66,062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9"/>
              </w:rPr>
              <w:t>101,239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101,293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101,305</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$(15,626)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(28,007)</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$(47,702)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(93,248)</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(100,200)</w:t>
            </w:r>
          </w:p>
        </w:tc>
      </w:tr>
      <w:tr>
        <w:trPr>
          <w:trHeight w:val="346"/>
        </w:trPr>
        <w:tc>
          <w:tcPr>
            <w:tcW w:w="542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prospectus.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 and elsewhere in this prospectus.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provide a cloud-based marketing and sales software platform that enables businesses to deliver an inbound experience. An inbound marketing and sales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lifestyle. Our platform uses our centralized inbound database to empower businesses to create more personalized interactions with customers, such as personalized emails, personalized social media alerts, personalized websites and targeted alerts for sales people. We provide a comprehensive set of integrated applications on our platform, which offers businesses ease of use, power and simplicity. We designed and built our platform to serve a large numbers of customers of any size with demanding use cases.</w:t>
      </w:r>
    </w:p>
    <w:p>
      <w:pPr>
        <w:spacing w:after="0" w:line="18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marketing agency partners worldwide. Our platform is particularly suited to serving the needs of mid-market business-to-business companies. These mid-market businesses seek an integrated, easy to implement and easy to use solution to reach customers and compete with organizations that have larger marketing and sales budgets. As of March 31, 2014, we had approximately 11,000 customers of varying sizes in more than 70 countries, representing almost every industry.</w:t>
      </w:r>
    </w:p>
    <w:p>
      <w:pPr>
        <w:spacing w:after="0" w:line="18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platform is a multi-tenant, single code-based and globally available software-as-a-service, or SaaS, product delivered through web browsers or mobile applications. We sell our platform on a subscription basis and generated revenue of $28.6 million in 2011, $51.6 million in 2012 and $77.6 million in 2013, representing year-over-year increases of 81% in 2012 and 50% in 2013. We generated revenue of $16.7 million and $24.2 million for the three months ended March 31, 2013 and 2014, respectively, representing a quarter-over-quarter increase of 44%. We had net losses of $24.4 million in 2011, $18.8 million in 2012 and $34.3 million in 2013 and $7.5 million and $9.5 million for the three months ended March 31, 2013 and 2014, respectively, primarily due to increased investments in our growth.</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derive most of our revenue from subscriptions to our cloud-based software platform and related professional services, which consist of customer training and other consulting services. Subscription revenue accounted for 90.0% of our total revenue in 2011, 88.9% in 2012, 91.2% in 2013 and 91.1% and 92.2% in the three months ended March 31, 2013 and 2014, respectively. We sell three product plans at different base prices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 subscription basis, each of which includes our core platform and integrated applications to meet the needs of the various customers we serve. Customers pay additional fees if the number of contacts stored and tracked in the customer’s database exceeds specified thresholds. We generate additional revenue based on the purchase of additional subscriptions and applications and the number of account users, subdomains and website visits. Substantially all of our customers’ subscriptions are one year or less in duration. Subscriptions are non-cancelable and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 for a given period of time.</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Professional services and other revenue accounted for 10.0% of our total revenue in 2011, 11.1% in 2012, 8.8% in 2013, and 8.9% and 7.8% in the three months ended March 31, 2013 and 2014, respectively. Our software is designed to be ready to use immediately after a new customer subscribes. Most of our customers purchase training services which are designed to help customers enhance their ability to attract, engage and delight their customers using our platform.</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customer base has grown from over 5,900 customers at the end of 2011 to approximately 11,000 customers as of March 31, 2014, which has resulted in rapid revenue growth. As of March 31, 2014, approximately 19% of our customers were located outside of the United States and these customers generated approximately 20% of our total revenue for the three months ended March 31, 2014. We opened our first international office in Dublin, Ireland in January 2013 as part of our geographic expansion. We plan to further grow our international business and expand to other geographies.</w:t>
      </w:r>
    </w:p>
    <w:p>
      <w:pPr>
        <w:spacing w:after="0" w:line="18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have focused on rapidly growing our business and plan to continue to make investments to help us address some of the challenges facing us to support this growth, such as demand for our platform by existing and new customers, significant competition from other providers of marketing software and related applications and rapid technological change in our industry. We believe that the growth of our business is dependent on many factors, including our ability to expand our customer base, increase adoption of our platform within existing customers, develop new products and applications to extend the functionality of our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incur additional general and administrative expenses as a result of both our growth and the infrastructure required to be a public company. We expect to use the proceeds from this offering to fund these growth strategies and do not expect to be profitable in the near term.</w:t>
      </w:r>
    </w:p>
    <w:p>
      <w:pPr>
        <w:spacing w:after="0" w:line="19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believe that these investments will result in an increase in our subscription revenue base and improvement in the retention of this base. This will result in revenue increasing faster than the increase in sales and marketing, research and development and general and administrative expenses as we reach economies of scale. With this increased operating leverage, we expect our gross and operating margins to increase in the long term. However, we will incur losses in the short term. If we are unable to achieve our revenue growth objectives, including a high rate of renewals of our customer agreements, we may not be able to achieve profitability.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use the following key business metrics to evaluate our business, measure our performance, identify trends affecting our business, formulate financial projections and make strategic decisions. Our key business metrics may be calculated in a manner different than similar key business metrics used by other companies.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customers</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5,783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Average subscription revenue per customer</w:t>
            </w:r>
          </w:p>
        </w:tc>
        <w:tc>
          <w:tcPr>
            <w:tcW w:w="10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w w:val="96"/>
              </w:rPr>
              <w:t>$5,395</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$6,580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7,299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8,484</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dollar retention rate</w:t>
            </w:r>
          </w:p>
        </w:tc>
        <w:tc>
          <w:tcPr>
            <w:tcW w:w="10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71.6%</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Customer Acquisition Cost, or CAC</w:t>
            </w:r>
          </w:p>
        </w:tc>
        <w:tc>
          <w:tcPr>
            <w:tcW w:w="10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w w:val="96"/>
              </w:rPr>
              <w:t>$6,671</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$8,279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11,645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10,189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2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subscription revenue per customer for the three months ended March 31, 2013 and 2014 is presented here and elsewhere in this prospectus on an annualized basis.</w:t>
      </w:r>
    </w:p>
    <w:p>
      <w:pPr>
        <w:spacing w:after="0" w:line="15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Total Customers. </w:t>
      </w:r>
      <w:r>
        <w:rPr>
          <w:rFonts w:ascii="Times New Roman" w:cs="Times New Roman" w:eastAsia="Times New Roman" w:hAnsi="Times New Roman"/>
          <w:sz w:val="18"/>
          <w:szCs w:val="18"/>
          <w:color w:val="auto"/>
        </w:rPr>
        <w:t>We believe that our ability to increase our customer base is an indicator of our market penetration and growth of our business as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expand our sales force and invest in marketing efforts. We define our total customers at the end of a particular period as the number of business entities or individuals with one or more paid subscriptions to our marketing platform, either paid directly or through an agency partner. We do not include in total customers business entities or individuals with one or more paid subscriptions solely for our Signals product. A single customer may have separate paid subscriptions for separate websites, but we count these as one customer if the subscriptions are managed by the same business entity or individual. For more information about our customers, see the section of this prospectus captioned “Business—Our Customers.”</w:t>
      </w:r>
    </w:p>
    <w:p>
      <w:pPr>
        <w:spacing w:after="0" w:line="18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Average Subscription Revenue per Customer. </w:t>
      </w:r>
      <w:r>
        <w:rPr>
          <w:rFonts w:ascii="Times New Roman" w:cs="Times New Roman" w:eastAsia="Times New Roman" w:hAnsi="Times New Roman"/>
          <w:sz w:val="18"/>
          <w:szCs w:val="18"/>
          <w:color w:val="auto"/>
        </w:rPr>
        <w:t>We believe that our ability to increase the average subscription revenue per customer is an indicator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ability to grow the long-term value of our existing customer relationships. We define average subscription revenue per customer during a particular period as subscription revenue from our total customers during the period divided by the average total customers during the same period. We expect our average subscription revenue per customer to continue to increase over time.</w:t>
      </w:r>
    </w:p>
    <w:p>
      <w:pPr>
        <w:spacing w:after="0" w:line="17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Subscription Dollar Retention Rate. </w:t>
      </w:r>
      <w:r>
        <w:rPr>
          <w:rFonts w:ascii="Times New Roman" w:cs="Times New Roman" w:eastAsia="Times New Roman" w:hAnsi="Times New Roman"/>
          <w:sz w:val="18"/>
          <w:szCs w:val="18"/>
          <w:color w:val="auto"/>
        </w:rPr>
        <w:t>We believe that our ability to retain and expand a customer relationship is an indicator of the stability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base and the long-term value of our customers. We assess our performance in this area using a metric we refer to as our Subscription Dollar Retention Rate. We compare the aggregate Contractual Monthly Subscription Revenue of our customer base as of the beginning of each month, which we refer to as Retention Base Revenue, to the aggregate Contractual Monthly Subscription Revenue of the same group of customers at the end of that month, which we refer to as Retained Subscription Revenue. We define Contractual Monthly Subscription Revenue as the total amount of subscription fees contractually committed to be paid for a full month under all of our customer agreements, excluding any commissions owed to our partners. We do not include in Contractual Monthly Subscription Revenue any subscription fees contractually committed to be paid by business entities or individuals with subscriptions solely for our Signals product. Our Subscription Dollar Retention Rate for a given period is calculated by first dividing Retained Subscription Revenue by Retention Base Revenue for each month in the period, annualizing the resulting rates, and then calculating the weighted average of these rates using the Retention Base Revenue for each month in the period.</w:t>
      </w:r>
    </w:p>
    <w:p>
      <w:pPr>
        <w:spacing w:after="0" w:line="186" w:lineRule="exact"/>
        <w:rPr>
          <w:sz w:val="20"/>
          <w:szCs w:val="20"/>
          <w:color w:val="auto"/>
        </w:rPr>
      </w:pPr>
    </w:p>
    <w:p>
      <w:pPr>
        <w:ind w:right="80" w:firstLine="456"/>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Customer Acquisition Cost. </w:t>
      </w:r>
      <w:r>
        <w:rPr>
          <w:rFonts w:ascii="Times New Roman" w:cs="Times New Roman" w:eastAsia="Times New Roman" w:hAnsi="Times New Roman"/>
          <w:sz w:val="17"/>
          <w:szCs w:val="17"/>
          <w:color w:val="auto"/>
        </w:rPr>
        <w:t>We believe that customer acquisition cost, or CAC, is an indicator of the efficiency of our sales and marketing programs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acquiring new customers. We calculate CAC by dividing our total sales and marketing expenses during a particular period, excluding the stock-based compensation included in sales and marketing expenses, by our total new customers added during the same period. We define our total new customers during a particular period as the number of new business entities or individuals who entered into one or more paid subscriptions to our marketing platform, either paid directly or through an agency partner, during the period. We do not include in total new customers business entities or individuals with one or more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paid subscriptions solely for our Signals product. A single new customer may have separate paid subscriptions for separate websites, but we count these as one new customer if the subscriptions are managed by the same business entity or individual.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derive our revenue from two major sources, revenue from subscriptions to our inbound platform and professional services and other revenue consisting mainly of training and consulting fees.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Subscription based revenue is derived from customers using our software platform for their inbound marketing and sales needs. Our software platform includes integrated applications that allow businesses to manage social media, search engine optimization, blogging, website content, marketing automation, email, analytics and reporting. Substantially all of our customers’ subscriptions are one year or less in duration. Subscriptions are non-cancelable and are billed in advance on various schedules. All subscription fees that are billed in advance of service are recorded in deferred revenue. Subscription based revenue is recognized net of consideration paid to marketing agency partners when the agency partner purchases the subscription directly from us, as in these instances our customer is the partner and our remaining obligations are to the partner.</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Professional services and other revenue are derived primarily from training and other consulting fees. The training provided to customers typically involves an inbound marketing consultant. An inbound marketing consultant will typically work with our customers to enhance their understanding of how to attract leads and convert them into customers through search engine optimization, social media, blogging and other content. Training is generally sold in connection with a customer’s initial subscription and is billed in advance. The training is also available to be purchased separately following a customer’s purchase of its initial subscription and our marketing agency partners routinely provide the same training to customers.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and Operating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and costs related to information technology, or IT.</w:t>
      </w:r>
    </w:p>
    <w:p>
      <w:pPr>
        <w:spacing w:after="0" w:line="176"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Cost of professional services and other revenue consists primarily of personnel costs of our professional services organization, including salaries, benefits, bonuses and stock-based compensation, as well as allocated overhead costs.</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expect that cost of subscription and professional services and other revenue will increase in absolute dollars as we continue to invest in growing our business. Over time, we expect to gain benefits of scale associated with our costs of hosting our software platform relative to subscription revenues, resulting in improved subscription gross margin. We expect to continue to generate negative gross margins related to professional services in the near term.</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of our development team, including payroll, benefits and stock-based compensation expense and allocated overhead costs. We capitalize certain software development costs that are attributable to developing new products and adding incremental functionality to our software platform and amortize such costs as costs of subscription revenue over the estimated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life of the new product or incremental functionality, which is generally two years. We focus our research and development efforts on improving our products and developing new ones, delivering new functionality and enhancing the customer experience. We believe delivering new functionalities for our customers is an integral part of our solution and provides our customers with access to a broad array of options and information critical to their marketing efforts. We expect to continue to make investments in and expand our offerings to enhance our customers’ experience and satisfaction and attract new customers. We expect research and development expenses to increase in absolute dollars as we continue to increase the functionality of our software platform.</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and other brand building expenses and allocated overhead costs. We defer certain sales commissions related to acquiring new customers and amortize them ratably over the term of the corresponding subscription agreement. Sales and marketing expenses also include commissions paid to our marketing agency partners when we are the primary obligor for providing the subscription that has been purchased.</w:t>
      </w:r>
    </w:p>
    <w:p>
      <w:pPr>
        <w:spacing w:after="0" w:line="184"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as a result of hiring net new quota-carrying sales representatives in the United States and worldwide, adding to the marketing staff and expanding our annual INBOUND conference. Over time, we expect sales and marketing expenses will decline as a percentage of total revenue.</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but decrease as a percentage of total revenue as we focus on processes, systems and controls to enable the our internal support functions to scale with the growth of our business. We also anticipate increases to general and administrative expenses as we incur the costs of compliance associated with being a publicly traded company, including audit and consulting fees.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interest expense and foreign currency gains and losses. We have historically had a minimal amount of debt outstanding on which we pay interest. The addition of our Dublin, Ireland office in 2013 has increased our exposure to foreign currencies, particularly the Euro.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tables set forth certain consolidated financial data in dollar amounts and as a percentage of total revenue. Certain amounts and percentages set forth below for the years ended December 31, 2011 and 2012 have been adjusted for the retrospective change in accounting policy for sales commissions (see Note 2 of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100" w:type="dxa"/>
            <w:vAlign w:val="bottom"/>
            <w:gridSpan w:val="8"/>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100" w:type="dxa"/>
            <w:vAlign w:val="bottom"/>
            <w:gridSpan w:val="8"/>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3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$ 25,702</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$ 45,870</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$ 70,819</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$15,244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2,851</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6,815</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3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5,712</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10,834</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20,280</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4,630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6,368</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8,759</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2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16,473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34,766</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48,595</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16,060</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10,031</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10,585</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15,018</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24,088</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34,949</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53,158</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11,604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7,972</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14,669</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(24,415)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(34,250)</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(7,579)</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(24,411)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(18,778)</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(34,274)</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(7,536)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6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6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40" w:type="dxa"/>
            <w:vAlign w:val="bottom"/>
            <w:gridSpan w:val="6"/>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2013 Compared to the Three Months Ended March 31, 2014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15,244</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22,285</w:t>
            </w:r>
          </w:p>
        </w:tc>
        <w:tc>
          <w:tcPr>
            <w:tcW w:w="11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$7,041</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7,434</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Subscription revenue increased 46% during the first quarter of 2014 due to an increase in total customers, which grew from 8,548 as of March 31,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10,902 as of March 31, 2014, and in average subscription revenue per customer, which grew from $7,299 for the three months ended March 31, 2013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$8,484 for the three months ended March 31, 2014. The growth in total customers was primarily driven by our increased sales representative capacity to meet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demand. The increase in average subscription revenue per customer was driven primarily by new customers purchasing our higher price product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customers increasing their use of our products and existing customers purchasing additional subscriptions.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26% increase in professional services and other revenue resulted primarily from the delivery of training services for subscriptions sold.</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 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6,440</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8,114</w:t>
            </w:r>
          </w:p>
        </w:tc>
        <w:tc>
          <w:tcPr>
            <w:tcW w:w="10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$1,674</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10,300</w:t>
            </w:r>
          </w:p>
        </w:tc>
        <w:tc>
          <w:tcPr>
            <w:tcW w:w="52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16,060</w:t>
            </w: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5,760</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65"/>
        </w:trPr>
        <w:tc>
          <w:tcPr>
            <w:tcW w:w="3580" w:type="dxa"/>
            <w:vAlign w:val="bottom"/>
          </w:tcPr>
          <w:p>
            <w:pPr>
              <w:spacing w:after="0"/>
              <w:rPr>
                <w:sz w:val="24"/>
                <w:szCs w:val="24"/>
                <w:color w:val="auto"/>
              </w:rPr>
            </w:pPr>
          </w:p>
        </w:tc>
        <w:tc>
          <w:tcPr>
            <w:tcW w:w="3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Total cost of revenue increased 26% for the three months ended March 31, 2014 primarily due to an increase in subscription and hosting costs, employee-related costs and amortization of developed and acquired technology. The increase in gross margin was primarily driven by improved leverage of our hosting costs relative to growth in subscription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4,630</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5,547</w:t>
            </w:r>
          </w:p>
        </w:tc>
        <w:tc>
          <w:tcPr>
            <w:tcW w:w="11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917</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subscription revenue</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Subscription cost of revenue increased 20% for the three months ended March 31, 2014 primarily due to increases in employee-related costs and amortization of capitalized software development costs. Employee-related costs increased $0.6 million as a result of increased headcount of 50 employees at March 31, 2013 compared to 80 employees at March 31, 2014 as we continue to grow our customer support organization to support our customer growth and improve service levels and offerings. Amortization of capitalized software development costs increased $0.3 million due to continued development of our software platform.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and other cost of revenue</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1,810</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2,567</w:t>
            </w:r>
          </w:p>
        </w:tc>
        <w:tc>
          <w:tcPr>
            <w:tcW w:w="11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757</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professional services and other revenue</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121%</w:t>
            </w:r>
          </w:p>
        </w:tc>
        <w:tc>
          <w:tcPr>
            <w:tcW w:w="5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jc w:val="both"/>
        <w:ind w:right="400" w:firstLine="456"/>
        <w:spacing w:after="0" w:line="282" w:lineRule="auto"/>
        <w:rPr>
          <w:sz w:val="20"/>
          <w:szCs w:val="20"/>
          <w:color w:val="auto"/>
        </w:rPr>
      </w:pPr>
      <w:r>
        <w:rPr>
          <w:rFonts w:ascii="Times New Roman" w:cs="Times New Roman" w:eastAsia="Times New Roman" w:hAnsi="Times New Roman"/>
          <w:sz w:val="18"/>
          <w:szCs w:val="18"/>
          <w:color w:val="auto"/>
        </w:rPr>
        <w:t>Employee-related costs increased $0.6 million as a result of increased headcount of 64 employees at March 31, 2013 compared to 84 employees at March 31, 2014 as we continue to grow our professional services organization to support our customer growth and improve service levels and offerings.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2,870</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4,693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64% for the three months ended March 31, 2014 primarily due to increases in employee-related costs. Employee-related costs increased $1.8 million as a result of increased headcount of 84 employees at March 31, 2013 compared to 115 employees at March 31, 2014 as we continue to grow our engineering organization to develop new products and continue to develop our existing software platform.</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2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36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11,604</w:t>
            </w:r>
          </w:p>
        </w:tc>
        <w:tc>
          <w:tcPr>
            <w:tcW w:w="20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15,926</w:t>
            </w: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$4,322</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37% for the three months ended March 31, 2014 primarily due to employee-related costs and third-party agency partner commissions. Employee-related costs increased $3.5 million as a result of increased headcount of 267 employees at March 31, 2013 compared to 326 employees 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March 31, 2014 as we continue to expand our selling and marketing organizations to grow our customer base. Partner commissions increased $0.4 million as a result of increased revenue generated through our marketing agency partners.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3,405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4,855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43% for the three months ended March 31, 2014 primarily due to an increase in employee-related costs. Employee-related costs increased $1.4 million as a result of increased headcount of 47 employees at March 31, 2013 compared to 70 employees at March 31, 2014 as we continue to grow our business and require additional personnel to support our expanded operations.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2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5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4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(94)</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58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nm</w:t>
        <w:tab/>
        <w:t>– not meaningful</w:t>
      </w:r>
    </w:p>
    <w:p>
      <w:pPr>
        <w:spacing w:after="0" w:line="225"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Other income (expense) includes interest income and expense and the impact of foreign currency transaction gains and losses. Other income (expense) is not significant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2012 Compared to the Year Ended December 31, 2013</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45,870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70,819</w:t>
            </w: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$24,949</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5,734</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6,815</w:t>
            </w: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1,081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51,604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77,634</w:t>
            </w: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26,030</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Subscription revenue increased 54% during 2013 due to an increase throughout the year in total customers, which grew from 8,159 as of December 31, 2012 to 10,111 as of December 31, 2013, and in average subscription revenue per customer, which grew from $6,580 in 2012 to $7,752 in 2013. The growth in total customers was primarily driven by our increased sales representative capacity to meet market demand. The increase in average subscription revenue per customer was driven primarily by new customers purchasing our higher price product plans, existing customers increasing their use of our products and existing customers purchasing additional subscriptions.</w:t>
      </w:r>
    </w:p>
    <w:p>
      <w:pPr>
        <w:spacing w:after="0" w:line="184" w:lineRule="exact"/>
        <w:rPr>
          <w:sz w:val="20"/>
          <w:szCs w:val="20"/>
          <w:color w:val="auto"/>
        </w:rPr>
      </w:pPr>
    </w:p>
    <w:p>
      <w:pPr>
        <w:jc w:val="center"/>
        <w:ind w:right="440"/>
        <w:spacing w:after="0" w:line="454" w:lineRule="auto"/>
        <w:rPr>
          <w:sz w:val="20"/>
          <w:szCs w:val="20"/>
          <w:color w:val="auto"/>
        </w:rPr>
      </w:pPr>
      <w:r>
        <w:rPr>
          <w:rFonts w:ascii="Times New Roman" w:cs="Times New Roman" w:eastAsia="Times New Roman" w:hAnsi="Times New Roman"/>
          <w:sz w:val="18"/>
          <w:szCs w:val="18"/>
          <w:color w:val="auto"/>
        </w:rPr>
        <w:t>The 19% increase in professional services and other revenue resulted primarily from the delivery of training services for subscriptions sold. 53</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 Gross Profit and 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20" w:type="dxa"/>
            <w:vAlign w:val="bottom"/>
            <w:gridSpan w:val="3"/>
          </w:tcPr>
          <w:p>
            <w:pPr>
              <w:jc w:val="right"/>
              <w:ind w:right="85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9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$ 16,838</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$ 29,039</w:t>
            </w:r>
          </w:p>
        </w:tc>
        <w:tc>
          <w:tcPr>
            <w:tcW w:w="10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9"/>
              </w:rPr>
              <w:t>$12,201</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34,766</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48,595</w:t>
            </w: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13,829</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67%</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Total cost of revenue increased 72% during 2013 primarily due to an increase in subscription and hosting costs, employee-related costs, amortization of developed and acquired technology and allocated overhead expenses. The decrease in gross margin was primarily driven by our increased investment in subscription and hosting services as well as the amortization of developed and acquired technologies and allocated overhead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0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98"/>
              </w:rPr>
              <w:t>$ 10,834</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$ 20,280</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$9,446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subscription revenue</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Subscription and hosting costs increased $5.4 million due to growth in our customer base from 8,159 customers at December 31, 2012 to 10,111 customers at December 31, 2013 along with higher costs associated with maintaining multiple hosting platforms while we migrated to a new version of our software. Employee-related costs increased $2.1 million as a result of increased headcount of 28 employees at December 31, 2012 compared to 74 employees at December 31, 2013 as we continue to grow our customer support organization to support our customer growth and improve service levels and offerings. Amortization of capitalized software development costs increased $1.1 million due to continued development of our software platform. Allocated overhead expenses increased $0.8 million primarily due to increased rent expense and depreciation of capital equipment as we continue to grow our business and expand headcount as discussed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2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and other cost of revenue</w:t>
            </w:r>
          </w:p>
        </w:tc>
        <w:tc>
          <w:tcPr>
            <w:tcW w:w="27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6,004</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8,759</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$2,755</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professional services and other revenue</w:t>
            </w:r>
          </w:p>
        </w:tc>
        <w:tc>
          <w:tcPr>
            <w:tcW w:w="27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Employee-related costs increased $2.0 million as a result of increased headcount of 53 employees at December 31, 2012 compared to 81 employees at December 31, 2013 as we continue to grow our professional services organization to support our customer growth and improve service levels and offerings. Allocated overhead expenses increased $0.7 million primarily due to increased rent expense and depreciation of capital equipment as we continue to grow our business and expand headcount as discussed above.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1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2"/>
                <w:szCs w:val="12"/>
                <w:color w:val="auto"/>
              </w:rPr>
            </w:pPr>
          </w:p>
        </w:tc>
        <w:tc>
          <w:tcPr>
            <w:tcW w:w="10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98"/>
              </w:rPr>
              <w:t>$ 10,585</w:t>
            </w:r>
          </w:p>
        </w:tc>
        <w:tc>
          <w:tcPr>
            <w:tcW w:w="17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$ 15,018</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$4,433</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42% during 2013 primarily due to increases in employee-related costs and allocated overhead costs. Employee-related costs increased $3.6 million as a result of increased headcount of 74 employees at December 31, 2012 compared to 110 employees at December 31, 2013 as we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continue to grow our engineering organization to develop new products and continue to develop our existing software platform. Allocated overhead costs increased $0.8 million primarily due to increased rent expense and depreciation of capital equipment as we continue to grow our business and expand headcount as discussed above.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2"/>
                <w:szCs w:val="12"/>
                <w:color w:val="auto"/>
              </w:rPr>
            </w:pPr>
          </w:p>
        </w:tc>
        <w:tc>
          <w:tcPr>
            <w:tcW w:w="1100" w:type="dxa"/>
            <w:vAlign w:val="bottom"/>
            <w:tcBorders>
              <w:top w:val="single" w:sz="8" w:color="auto"/>
            </w:tcBorders>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5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$ 34,949</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$ 53,158</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$18,209</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420" w:firstLine="456"/>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52% during 2013 primarily due to employee-related costs, third-party agency partner commissions and allocated overhead costs. Employee-related costs increased $13.7 million as a result of increased headcount of 231 employees at December 31, 2012 compared to 340 employees at December 31, 2013 as we continue to expand our selling and marketing organizations to grow our customer base. Partner commissions increased $1.2 million as a result of increased revenue generated through our marketing agency partners.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1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7,972</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$ 14,669</w:t>
            </w:r>
          </w:p>
        </w:tc>
        <w:tc>
          <w:tcPr>
            <w:tcW w:w="1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$6,697</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84% during 2013 primarily due to an increase in employee-related costs and professional fees. Employee-related costs increased $5.4 million as a result of increased headcount of 43 employees at December 31, 2012 compared to 63 employees at December 31, 2013 as we continue to grow our business and require additional personnel to support our expanded operations. Professional fees increased $1.3 million a result of our preparatory and audit work associated with our potential initial public offering and to support our international expansion activities.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14</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68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nm</w:t>
        <w:tab/>
        <w:t>– not meaningful</w:t>
      </w:r>
    </w:p>
    <w:p>
      <w:pPr>
        <w:spacing w:after="0" w:line="225"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Other income (expense) includes interest income and expense and the impact of foreign currency transaction gains and losses. Other income (expense) is not significant for any period presented.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2011 Compared to the Year Ended December 31, 2012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11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25,702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45,870</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$20,168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5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28,553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51,604</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23,051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Subscription revenue increased 78% during 2012 due to an increase throughout the year in total customers, which grew from 5,783 as of December 31, 2011 to 8,159 as of December 31, 2012, and in average subscription revenue per customer, which grew from $5,395 in 2011 to $6,580 in 2012. The growth in total customers was primarily driven by our increased sales representative capacity to meet market demand. The increase in average subscription revenue per customer was driven primarily by new customers purchasing our higher price products, existing customers increasing their use of our products and existing customers purchasing additional subscriptions.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101% increase in professional services and other revenue resulted primarily from the delivery of training services for subscriptions sold.</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 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6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940" w:type="dxa"/>
            <w:vAlign w:val="bottom"/>
            <w:tcBorders>
              <w:top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18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9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  12,080</w:t>
            </w: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16,838</w:t>
            </w:r>
          </w:p>
        </w:tc>
        <w:tc>
          <w:tcPr>
            <w:tcW w:w="14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$ 4,758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16,473</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34,766</w:t>
            </w: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18,293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Total cost of revenue increased 39% during 2012 primarily due to an increase in subscription and hosting costs, employee-related costs, amortization of developed and acquired technology and allocated overhead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24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8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1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5,712</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10,834</w:t>
            </w:r>
          </w:p>
        </w:tc>
        <w:tc>
          <w:tcPr>
            <w:tcW w:w="1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$5,122</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subscription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Subscription and hosting costs increased $3.5 million due to growth in our customer base from 5,783 customers at December 31, 2011 to 8,159 customers at December 31, 2012. Employee-related costs increased $0.7 million as a result of increased headcount of 16 employees at December 31, 2011 compared to 28 employees at December 31, 2012 as we continue to grow our customer support organization to support our customer growth and improve service levels and offerings. Amortization of capitalized software development costs increased $0.8 million due to continued development of our software platform. Allocated overhead expenses increased $0.1 million primarily due to increased rent expense and depreciation of capital equipment as we continue to grow our business and expand headcount as discussed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8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92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and other cost of revenue</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6,368</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6,004</w:t>
            </w: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(364)</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professional services and other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Professional services and other cost of revenue remained consistent in 2011 and 2012.</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4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8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1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10,031</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10,585</w:t>
            </w:r>
          </w:p>
        </w:tc>
        <w:tc>
          <w:tcPr>
            <w:tcW w:w="1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554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Employee-related costs increased $2.2 million as a result of increased headcount of 62 employees at December 31, 2011 compared to 74 employees at December 31, 2012 as we continued to grow our engineering organization to develop new products and continue to develop our existing software platform. Allocated overhead costs increased $0.2 million primarily due to increased rent expense and depreciation of capital equipment as we continue to grow our business and expand headcount as discussed above. This was offset by a $1.9 million one-time non-cash expense in 2011 associated with an investor purchase of employee stock at a premium over fair value. See note 10 of our consolidated financial statements.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24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260" w:type="dxa"/>
            <w:vAlign w:val="bottom"/>
          </w:tcPr>
          <w:p>
            <w:pPr>
              <w:spacing w:after="0"/>
              <w:rPr>
                <w:sz w:val="12"/>
                <w:szCs w:val="12"/>
                <w:color w:val="auto"/>
              </w:rPr>
            </w:pPr>
          </w:p>
        </w:tc>
        <w:tc>
          <w:tcPr>
            <w:tcW w:w="90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1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24,088</w:t>
            </w:r>
          </w:p>
        </w:tc>
        <w:tc>
          <w:tcPr>
            <w:tcW w:w="1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34,949</w:t>
            </w:r>
          </w:p>
        </w:tc>
        <w:tc>
          <w:tcPr>
            <w:tcW w:w="12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$10,861</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Employee-related costs increased $8.2 million a result of increased headcount of 145 employees at December 31, 2011 compared to 231 employees at December 31, 2012 as we continued to expand our selling and marketing organizations to support our increased our customer base. Partner commissions increased as a result of increased revenue generated through our marketing agency partners.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28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080" w:type="dxa"/>
            <w:vAlign w:val="bottom"/>
          </w:tcPr>
          <w:p>
            <w:pPr>
              <w:spacing w:after="0"/>
              <w:rPr>
                <w:sz w:val="12"/>
                <w:szCs w:val="12"/>
                <w:color w:val="auto"/>
              </w:rPr>
            </w:pPr>
          </w:p>
        </w:tc>
        <w:tc>
          <w:tcPr>
            <w:tcW w:w="92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6,769</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7,972</w:t>
            </w: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$1,203</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Employee-related costs increased $2.7 million a result of increased headcount of 21 employees at December 31, 2011 compared to 43 employees at December 31, 2012 as we continued to grow our business and require additional personnel to support our expanded operations. This was offset by a $1.3 million one-time non-cash expense in 2011 associated with an investor purchase of employee stock at a premium over fair value. See Note 10 of our consolidated financial statements.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9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6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1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Other income (expense) includes interest income and expense and the impact of foreign currency gains and losses. Other income (expense) is not significant for any period presented.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tables set forth our quarterly consolidated statements of operations for each of the four quarters in the years ended December 31, 2012 and 2013 and the three months ended March 31, 2014. Certain amounts and percentages set forth below for the year ended December 31, 2012 have been adjusted for the retrospective change in accounting policy for sales commissions (See Note 2 of the consolidated financial statements). We have prepared the quarterly consolidated statements of operations data on a basis consistent with the audited consolidated financial statements included elsewhere in this prospectus. In the opinion of management, the financial information reflects all adjustments, consisting only of normal recurring adjustments, which we consider necessary for a fair presentation of this data. This information should be read in conjunction with the audited consolidated financial statements and related notes included elsewhere in this prospectus. The results of historical periods are not necessarily indicative of the results for any future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9,345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10,598</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12,132</w:t>
            </w: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13,795</w:t>
            </w:r>
          </w:p>
        </w:tc>
        <w:tc>
          <w:tcPr>
            <w:tcW w:w="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15,244</w:t>
            </w:r>
          </w:p>
        </w:tc>
        <w:tc>
          <w:tcPr>
            <w:tcW w:w="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16,585</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18,416</w:t>
            </w:r>
          </w:p>
        </w:tc>
        <w:tc>
          <w:tcPr>
            <w:tcW w:w="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20,574</w:t>
            </w:r>
          </w:p>
        </w:tc>
        <w:tc>
          <w:tcPr>
            <w:tcW w:w="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1,763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10,537</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18,336</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2,091</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5,152</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cost of revenue</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3,604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6,440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7,347</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gross profit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6,933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10,989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16,060</w:t>
            </w:r>
          </w:p>
        </w:tc>
        <w:tc>
          <w:tcPr>
            <w:tcW w:w="0" w:type="dxa"/>
            <w:vAlign w:val="bottom"/>
          </w:tcPr>
          <w:p>
            <w:pPr>
              <w:spacing w:after="0"/>
              <w:rPr>
                <w:sz w:val="1"/>
                <w:szCs w:val="1"/>
                <w:color w:val="auto"/>
              </w:rPr>
            </w:pPr>
          </w:p>
        </w:tc>
      </w:tr>
      <w:tr>
        <w:trPr>
          <w:trHeight w:val="264"/>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2,516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2,437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3,836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4,271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7,862</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11,604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12,422</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11,697</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17,879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19,794</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22,297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(4,764)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(5,393)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(8,805)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(9,414)</w:t>
            </w:r>
          </w:p>
        </w:tc>
        <w:tc>
          <w:tcPr>
            <w:tcW w:w="0" w:type="dxa"/>
            <w:vAlign w:val="bottom"/>
          </w:tcPr>
          <w:p>
            <w:pPr>
              <w:spacing w:after="0"/>
              <w:rPr>
                <w:sz w:val="1"/>
                <w:szCs w:val="1"/>
                <w:color w:val="auto"/>
              </w:rPr>
            </w:pPr>
          </w:p>
        </w:tc>
      </w:tr>
      <w:tr>
        <w:trPr>
          <w:trHeight w:val="264"/>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other income (expense)</w:t>
            </w: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(4,764)</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(3,780)</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(4,851)</w:t>
            </w:r>
          </w:p>
        </w:tc>
        <w:tc>
          <w:tcPr>
            <w:tcW w:w="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(5,383)</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(7,536)</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(8,803)</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(9,511)</w:t>
            </w:r>
          </w:p>
        </w:tc>
        <w:tc>
          <w:tcPr>
            <w:tcW w:w="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(8,425)</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Stock-based compensation included in the consolidated statement of operations data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2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stock-based compensation</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4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4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5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4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0" w:type="dxa"/>
            <w:vAlign w:val="bottom"/>
            <w:gridSpan w:val="2"/>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gridSpan w:val="6"/>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Professional services and</w:t>
            </w:r>
          </w:p>
        </w:tc>
        <w:tc>
          <w:tcPr>
            <w:tcW w:w="9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w:t>
            </w: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w:t>
            </w:r>
          </w:p>
        </w:tc>
        <w:tc>
          <w:tcPr>
            <w:tcW w:w="12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revenue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Professional services and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w:t>
            </w: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2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cost of revenue</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3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3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3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3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gross profit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6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Research and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21</w:t>
            </w:r>
          </w:p>
        </w:tc>
        <w:tc>
          <w:tcPr>
            <w:tcW w:w="12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development</w:t>
            </w:r>
          </w:p>
        </w:tc>
        <w:tc>
          <w:tcPr>
            <w:tcW w:w="6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34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General and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vMerge w:val="restart"/>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16</w:t>
            </w:r>
          </w:p>
        </w:tc>
        <w:tc>
          <w:tcPr>
            <w:tcW w:w="12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20</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administrative</w:t>
            </w:r>
          </w:p>
        </w:tc>
        <w:tc>
          <w:tcPr>
            <w:tcW w:w="6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vMerge w:val="restart"/>
          </w:tcPr>
          <w:p>
            <w:pPr>
              <w:ind w:left="560"/>
              <w:spacing w:after="0" w:line="153" w:lineRule="exact"/>
              <w:rPr>
                <w:sz w:val="20"/>
                <w:szCs w:val="20"/>
                <w:color w:val="auto"/>
              </w:rPr>
            </w:pPr>
            <w:r>
              <w:rPr>
                <w:rFonts w:ascii="Times New Roman" w:cs="Times New Roman" w:eastAsia="Times New Roman" w:hAnsi="Times New Roman"/>
                <w:sz w:val="14"/>
                <w:szCs w:val="14"/>
                <w:color w:val="auto"/>
              </w:rPr>
              <w:t>Total operating</w:t>
            </w: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4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60" w:type="dxa"/>
            <w:vAlign w:val="bottom"/>
          </w:tcPr>
          <w:p>
            <w:pPr>
              <w:spacing w:after="0"/>
              <w:rPr>
                <w:sz w:val="11"/>
                <w:szCs w:val="11"/>
                <w:color w:val="auto"/>
              </w:rPr>
            </w:pPr>
          </w:p>
        </w:tc>
        <w:tc>
          <w:tcPr>
            <w:tcW w:w="12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110</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102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expenses</w:t>
            </w:r>
          </w:p>
        </w:tc>
        <w:tc>
          <w:tcPr>
            <w:tcW w:w="6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64"/>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6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vMerge w:val="restart"/>
          </w:tcPr>
          <w:p>
            <w:pPr>
              <w:ind w:left="560"/>
              <w:spacing w:after="0" w:line="153" w:lineRule="exact"/>
              <w:rPr>
                <w:sz w:val="20"/>
                <w:szCs w:val="20"/>
                <w:color w:val="auto"/>
              </w:rPr>
            </w:pPr>
            <w:r>
              <w:rPr>
                <w:rFonts w:ascii="Times New Roman" w:cs="Times New Roman" w:eastAsia="Times New Roman" w:hAnsi="Times New Roman"/>
                <w:sz w:val="14"/>
                <w:szCs w:val="14"/>
                <w:color w:val="auto"/>
              </w:rPr>
              <w:t>Total other income</w:t>
            </w: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1"/>
                <w:szCs w:val="11"/>
                <w:color w:val="auto"/>
              </w:rPr>
            </w:pPr>
          </w:p>
        </w:tc>
        <w:tc>
          <w:tcPr>
            <w:tcW w:w="12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(expense)</w:t>
            </w:r>
          </w:p>
        </w:tc>
        <w:tc>
          <w:tcPr>
            <w:tcW w:w="6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some seasonality in terms of when we enter into customer agreements for our services, mostly around the time where we change or increase our pricing structure for new customers. This seasonality is reflected to a much lesser extent, and sometimes is not immediately apparent, in our revenue, because we recognize subscription revenue over the term of the customer agreement, and substantially all of our customer agreements have terms of one year or less. As a result, a slowdown in our ability to enter into customer agreements may not be apparent in our revenue for the quarter, as the revenue recognized in any quarter is primarily from customer agreements entered into in prior quarters. Historical patterns should not be considered a reliable indicator of our future sales activity or performance.</w:t>
      </w:r>
    </w:p>
    <w:p>
      <w:pPr>
        <w:spacing w:after="0" w:line="18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revenue has increased over the periods presented above due to new customers purchasing our higher price product plans, existing customers increasing their use of our products and existing customers purchasing additional subscriptions. Our operating expenses generally have increased sequentially in every quarter primarily due to increases in headcount and other related expenses to support our growth. We anticipate our operating expenses will continue to increase in absolute dollars in future periods as we invest in the long-term growth of our business.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gross profit declined in the first and second quarters of 2013 as we invested in growing our customer support organization and incurred higher costs associated with maintaining multiple hosting platforms while we migrated to a new version of our software. Our gross profit improved in the third and fourth quarters of 2013 as a result of increased revenue and decreased hosting costs.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addition, we may experience variances in total customers over a particular quarter for a variety of business reasons, and the extent to which we gain or lose customers over a particular quarter will not necessarily correlate to the changes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in that quarter or in future periods. As a result of the foregoing factors, a slowdown in our ability to enter into customer agreements or to renew customer agreements may not be apparent in our revenue for the quarter, as the revenue recognized in any quarter is primarily from customer agreements entered into in prior quarters. In addition, we typically host our annual INBOUND conference in the third quarter of the year, increasing sales and marketing costs during that quarter.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net accounts receivable and our credit facilities. The following table shows cash, working capital, net cash used in operating activities, net cash used in investing activities, and net cash provided by financing activities for the years ended December 31, 2011, 2012 and 2013 and for the three months ended March 31, 2013 and 2014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460" w:type="dxa"/>
            <w:vAlign w:val="bottom"/>
            <w:gridSpan w:val="4"/>
            <w:vMerge w:val="restart"/>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460" w:type="dxa"/>
            <w:vAlign w:val="bottom"/>
            <w:gridSpan w:val="4"/>
            <w:vMerge w:val="continue"/>
          </w:tcPr>
          <w:p>
            <w:pPr>
              <w:spacing w:after="0"/>
              <w:rPr>
                <w:sz w:val="15"/>
                <w:szCs w:val="15"/>
                <w:color w:val="auto"/>
              </w:rPr>
            </w:pP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$ 13,972</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$41,097</w:t>
            </w: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$ 12,643</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$36,357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4,888</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24,218</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(10,859)</w:t>
            </w: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16,032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(12,529)</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(5,807)</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(19,808)</w:t>
            </w:r>
          </w:p>
        </w:tc>
        <w:tc>
          <w:tcPr>
            <w:tcW w:w="8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(2,541)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(1,834)</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(2,393)</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(9,170)</w:t>
            </w:r>
          </w:p>
        </w:tc>
        <w:tc>
          <w:tcPr>
            <w:tcW w:w="8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(2,212)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21,380</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35,335</w:t>
            </w: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514</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cash at March 31, 2014 was held for working capital purposes. We believe our working capital and available borrowing amounts under our credit facilities are sufficient to support our operations for at least the next 12 months. If we decide in the future to pursue strategic acquisitions, we may use a portion of the net proceeds from this offering to fund those types of investments. $0.5 million of our cash at March 31, 2014 was held in accounts outside the United States. These funds would be subject to U.S. federal taxation if repatriated, with such tax liability partially offset by foreign tax credits, however we do not intend to repatriate these funds.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certain non-cash items, including stock-based compensation, depreciation and amortization and other non-cash charges, net. We expect that we will continue to use cash from operating activities in 2014 as we continue to invest in and grow our business.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2014 primarily reflected our net loss of $9.5 million, offset by non-cash expenses that included $1.4 million of depreciation and amortization, $1.1 million in stock-based compensation, $0.1 million of provision for doubtful accounts and $0.1 million of rent expense. Working capital sources of cash included a $4.7 million increase in deferred revenue primarily resulting from the growth in the number of customers invoiced during the period and a $1.1 million increase in deferred rent associated with reimbursements by our landlord for leasehold improvements. These sources of cash were offset by a $1.2 million decrease in accounts receivable as a result of increased billings to customers consistent with the overall growth of the business.</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2013 primarily reflected our net loss of $7.5 million, offset by non-cash expenses that included $0.9 million of depreciation and amortization, $0.8 million in stock-based compensation and $0.2 million of provision for doubtful accounts. Working capital sources of cash included a $3.6 million increase in deferred revenue primarily resulting from the growth in the number of customers invoiced during the period and a $1.6 million increase in accounts payable as a result of paying down incremental payables after period-end. These sources of cash were offset by a $0.9 million decrease in accounts receivable as a result of increased billings to customers consistent with the overall growth of the business.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 during 2013 primarily reflected our net loss of $34.3 million, offset by non-cash expenses that included</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$4.5 million of depreciation and amortization, $3.5 million in stock-based compensation, $0.5 million of provision for doubtful accounts and $0.9 million of rent expense. Working capital sources of cash included an $8.8 million increase in deferred revenue primarily resulting from the growth in the number of customers invoiced during the period and a $4.3 million increase in accrued expenses as a result of a higher level of expenses consistent with the overall growth of the business. These sources of cash were offset by a $2.5 million decrease in accounts receivable as a result of increased billings to customers consistent with the overall growth of the business, a $3.4 million decrease in prepaid expenses and other assets resulting from a prepayment to one of our third party hosting service providers, a $1.2 million decrease in accounts payable resulting from paying down our accounts payable after year-end, and a $1.2 million decrease in deferred commission expense due to increased commission costs consistent with the overall growth of the business. The change in net cash used in operating activities from 2012 to 2013 is primarily due to increases in payments for employee payroll as we continued to invest in and grow our business.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 during 2012 primarily reflected our net loss of $18.8 million, offset by non-cash expenses that included</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$2.7 million of depreciation and amortization, $2.5 million in stock-based compensation, $0.4 million of provision for doubtful accounts and $0.1 million of interest expense. Working capital sources of cash included a $7.8 million increase in deferred revenue due to the growth in the number of customers invoiced during the period, a $2.1 million increase in accrued expenses resulting from a higher level of expenses consistent with the overall growth of the business and a $1.2 million increase in accounts payable as a result of paying down incremental payables after year-end. These sources of cash were partially offset by a $3.1 million decrease in accounts receivable as a result of increased billings to customers consistent with the overall growth of the business. Net cash used in operating activities decreased from 2011 compared to 2012 because we sold more subscriptions with upfront payment terms and did not increase our headcount during the first half of 2012 at the same rate as we did in 2011.</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 during 2011 primarily reflected our net loss of $24.4 million, offset by non-cash expenses that included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$1.9 million of depreciation and amortization, $4.6 million in stock-based compensation and $0.3 million of provision for doubtful accounts. Working capital sources of cash included a $3.7 million increase in deferred revenue resulting from the growth in the number of customers invoiced during the period and a $4.1 million increase in accrued expenses as a result of result of a higher level of expenses consistent with the overall growth of the business. These sources of cash were partially offset by a $1.4 million decrease in accounts receivable as a result of increased billings to customers consistent with the overall growth of the business and a $1.4 million decrease in deferred commission expense due to increased commission costs consistent with the overall growth of the business.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investing activities have consisted primarily of property and equipment purchases for computer-related equipment and capitalization of software development costs. Capitalized software development costs are related to new products or improvements to our existing software platform that expands the functionality for our customers. As our business grows, we expect that we will continue to invest in the expansion of, and improvements to, our leased spaces, both domestically and internationally.</w:t>
      </w:r>
    </w:p>
    <w:p>
      <w:pPr>
        <w:spacing w:after="0" w:line="18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2014 was $3.4 million. This consisted primarily of $2.5 million of purchased property and equipment and $1.0 million of capitalized software development costs. In the three months ended March 31, 2014 we continued to invest in improvements to our leased space.</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2013 was $2.2 million. This consisted primarily of $1.2 million of purchased property and equipment and $0.9 million of capitalized software development costs. In the three months ended March 31, 2013 we continued to invest in improvements to our leased space.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2013 was $9.2 million. This consisted primarily of $4.4 million of purchased property and equipment and $3.4 million of capitalized software development costs. In 2013, we expanded our operations and the leased space of our headquarters in Cambridge, Massachusetts, and also invested in improvements to the leased space. In addition, we were required to restrict a portion of our cash balance as a security deposit for the additional leased space.</w:t>
      </w:r>
    </w:p>
    <w:p>
      <w:pPr>
        <w:spacing w:after="0" w:line="180" w:lineRule="exact"/>
        <w:rPr>
          <w:sz w:val="20"/>
          <w:szCs w:val="20"/>
          <w:color w:val="auto"/>
        </w:rPr>
      </w:pPr>
    </w:p>
    <w:p>
      <w:pPr>
        <w:jc w:val="both"/>
        <w:ind w:right="28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2012 was $2.4 million. This consisted primarily of $0.3 million to purchase property and equipment and $2.3 million of capitalized software development costs.</w:t>
      </w:r>
    </w:p>
    <w:p>
      <w:pPr>
        <w:spacing w:after="0" w:line="162"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2011 was $1.8 million. This consisted primarily of $1.2 million to purchase property and equipment and $1.7 million of capitalized software development costs, and was partially offset by $1.0 million in cash we acquired in connection with the acquisition of Performable.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primary financing activities have consisted primarily of issuances of convertible preferred stock and debt to fund our operations and proceeds from the exercises of options. Cash flows used in financing activities in prior years consists primarily of repayment of long-term debt.</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cash provided by financing activities consisted primarily of $1.4 million of proceeds received from option exercises.</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2013, cash provided by financing activities consisted primarily of $0.1 million of proceeds received from option exercises.</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cash provided by financing activities consisted primarily of $0.6 million of proceeds received from option exercises and was offset by $0.1 million used to repay capital leases.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2012, cash provided by financing activities was $35.3 million, consisting primarily of $35.1 million of net proceeds received from the issuance of Series E preferred stock and $0.7 million of proceeds received from option exercises, and was offset by $0.4 million used to repay long-term debt and $0.1 million used to repay capital leases.</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2011, cash provided by financing activities was $21.4 million, consisting primarily of $21.3 million of net proceeds received from the issuance of Series D preferred stock and $0.2 million of proceeds received from option exercises, and was partially offset by $0.1 million used to repay long-term debt.</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During the first quarter of 2014, we increased our credit facilities to a total of $35.0 million and extended the term we could borrow on our capital line of credit through December 2014 and on our revolving line of credit through March 2016. We currently anticipate that our cash from operations and proceeds available under our credit facilities will be sufficient to meet our operational cash needs for at least the next twelve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primarily generate revenue from multiple element arrangements, which typically include subscriptions to our online software solution and training and consulting services. Our customers do not have the right to take possession of the online software solution. Revenue from subscriptions, including additional fees for items such as incremental contacts, is recognized ratably over the subscription period beginning on the date the subscription is made available to customers. Substantially all subscription contracts are one year or less. We recognize revenue from training and consulting services as the services are provided. Amounts billed that have not yet met the applicable revenue recognition criteria are recorded as deferred revenue.</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part of accounting for multiple element arrangements, we must assess if each component has value on a standalone basis and should be treated as a separate unit of accounting. There is an in-depth process that we undergo to determine the standalone value for each component where we determine if an individual component could be sold by itself or if the component is sold by other third parties. If the component has standalone value upon delivery, we account for each component separately. Subscription services have standalone value as they are often sold separate from all other services. Training and consulting services also have standalone value as they are sold separately by us and by third parties.</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allocate total arrangement fees to each element in a multiple element arrangement based on the relative selling price hierarchy of each element. We are not able to establish vendor-specific objective evidence, or VSOE, the most reliable level of allocating standalone value, for our subscription and training and consulting services because of our pricing practices. We note that third party evidence, or TPE, the second most reliable level of allocating standalone value, is not appropriate for determining the standalone value for any of our services because the pricing for any similar third party subscription or training or consulting services is inconsistent. Therefore, we rely on best estimate of selling price, or BESP, to allocate value to the various components of our arrangements.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To determine BESP, we consider the median actual sales price of each type of subscription and training and consulting services. We then establish a reasonable range around the median pricing, typically plus or minus 20% of the median selling price. For any transactions where a deliverable falls outside of this range, we reallocate arrangement consideration amongst the deliverables using their respective median selling prices.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pay our marketing agency partners a commission of the subscription sales price for sales to customers. The classification of the commission paid on our consolidated statements of operations depends on who is purchasing our subscription. In instances where the customer is purchasing the subscription, we are the primary obligor and record the commission paid to the agency partner as sales and marketing expense. When the agency partner purchases the subscription directly from us, we net the consideration paid to the partner against the associated revenue we recognize, as in these instances our customer is the partner and our remaining obligations are to the partner. We also do not believe we receive a tangible benefit from the payment back to the partner.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our judgments change we would not expect to see a material effect on our consolidated financial statements.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Software development costs consist of certain payroll and stock compensation costs incurred to develop functionality for our software platform, as well as certain upgrades and enhancements that are expected to result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enhanced functionality. We capitalize certain software development costs for new offerings as well as upgrades to our existing software platform. We amortize these development costs over the estimated useful life of two years on a straight-line basis. We believe there are two key estimates within the capitalized software balance, which are the determination of the useful life of the software and the determination of the amounts to be capitalized.</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determined that a two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two years before being significantly replaced or modified to keep up with evolving customer needs. While we do not anticipate any significant changes to this two year estimate, a change in this estimate could produce a material impact on our financial statements. For example, if we received information that indicated the useful life of all internally developed software was one year rather than two, our capitalized software balance would decrease by approximately 50% and our amortization expense would increase by 50% in the year of adoption of the change in estimate.</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determine the amount of internal software costs to be capitalized based on the amount of time spent by our developers on projects. Costs associated with building or significantly enhancing our software platform are capitalized, while costs associated with planning new developments and maintaining our software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recognize compensation expense for equity awards based on the fair value of the award and on a straight-line basis over the vesting period of the award based on the estimated portion of the award that is expected to vest.</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Inherent in the valuation and recording of stock-based compensation, there are several estimates that we make, including in regard to valuation and expense that will be incurred. We apply estimated forfeiture rates to the awards based on analyses of historical data, including termination patterns, employee position and other factors. This is done to record the expense we expect to actually incur for employees that provide the required service time.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use the Black-Scholes option pricing model to measure the fair value of our option awards when they are granted. We estimate the value of common stock at the grant date with the help of an independent third party service provider. See “Valuation of Common Stock” below for further discussion of the valuation process. We use the daily historical volatility of companies we consider to be our peers. To determine our peer companies, we used the following criteria: software or software-as-a-service companies; similar histories and relatively comparable financial leverage; sufficient public company trading history; and in similar businesses and geographical markets. We used the peers’ stock price volatility over the expected life of our granted options to calculate the expected volatility. The expected term of employee option awards is determined using the average midpoint between vesting and the contractual term for outstanding awards, or the simplified method, because we do not yet have a sufficient history of option exercises. We consider this appropriate as we plan to see significant changes to our equity structure in the future and there is no other method that would be more indicative of exercise activity. The risk-free interest rate is based on the rate on U.S. Treasury securities with maturities consistent with the estimated expected term of the awards. We have not paid dividends and do not anticipate paying a cash dividend in the foreseeable future and, accordingly, use an expected dividend yield of zero.</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455" w:right="2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assumptions, other than fair value of our common stock, relating to our stock options granted in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2012, 2013, and in the three months ended March 31, 2013 and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78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tcPr>
          <w:p>
            <w:pPr>
              <w:jc w:val="center"/>
              <w:ind w:left="48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6"/>
                <w:szCs w:val="16"/>
                <w:color w:val="auto"/>
              </w:rPr>
              <w:t>49 - 52%</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48 - 51%</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46.8 - 54.7%</w:t>
            </w:r>
          </w:p>
        </w:tc>
        <w:tc>
          <w:tcPr>
            <w:tcW w:w="152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rPr>
              <w:t>46.8% - 47.9%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50.92%</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6"/>
                <w:szCs w:val="16"/>
                <w:color w:val="auto"/>
              </w:rPr>
              <w:t>0.79 - 2.45%</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0.56 - 1.23%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0.82 - 1.86%</w:t>
            </w:r>
          </w:p>
        </w:tc>
        <w:tc>
          <w:tcPr>
            <w:tcW w:w="152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rPr>
              <w:t>0.82% - 1.26%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3.5 - 6.5</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4.6 - 6.5</w:t>
            </w:r>
          </w:p>
        </w:tc>
        <w:tc>
          <w:tcPr>
            <w:tcW w:w="152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rPr>
              <w:t>4.7 - 6.5</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5.0 - 6.5</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to the assumptions used in the Black-Scholes option-pricing model, we must also estimate a forfeiture rate to calculate the stock-based compensation expense for our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our financial statements. If a revised forfeiture rate is lower than the previously estimated forfeiture rate, an adjustment is made that will result in an increase to the share-based compensation expense recognized in our financial statements.</w:t>
      </w:r>
    </w:p>
    <w:p>
      <w:pPr>
        <w:spacing w:after="0" w:line="189"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 and forfeiture rate utilized in our stock-based compensation expense calculations on a prospective basis. As we continue to accumulate additional data related to our common stock, we may refine our estimates of expected volatility, expected term and forfeiture rates, which could materially impact our future stock-based compensation expense.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2013 and the three months ended March 31, 2014, we granted 3.27 million restricted stock unit awards, or RSUs, to certain directors, executives and key employees. Our stock-based compensation expense for RSUs is estimated at the grant date based on the fair value of our common stock. The RSUs vest upon the satisfaction of both a service condition and a performance condition. The service condition for a majority of the RSUs is satisfied over a period of four years. The performance condition will be satisfied on the earlier of (i) a sale of our company or (ii) the date that is six months following our initial public offering, in either case, prior to the earlier of (A) the expiration date or (B) the tenth anniversary of the grant date.</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2014, no stock-based compensation expense had been recognized for RSUs because a qualifying event for the awards’ vesting was not probable. In the quarter in which this offering is completed, we will begin recording stock-based compensation expense based on the grant-date fair value of the RSUs using the accelerated attribution method, net of estimated forfeiture. The following table summarizes, on an unaudited pro forma basis, the stock-based compensation expense related to the RSUs that we would incur during the quarter in which this offering is completed, assuming this offering was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effective on</w:t>
            </w:r>
          </w:p>
        </w:tc>
        <w:tc>
          <w:tcPr>
            <w:tcW w:w="27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2014:</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1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 award issue date to March 31, 2014</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2720" w:type="dxa"/>
            <w:vAlign w:val="bottom"/>
            <w:gridSpan w:val="2"/>
          </w:tcPr>
          <w:p>
            <w:pPr>
              <w:jc w:val="center"/>
              <w:ind w:right="1608"/>
              <w:spacing w:after="0" w:line="118" w:lineRule="exact"/>
              <w:rPr>
                <w:sz w:val="20"/>
                <w:szCs w:val="20"/>
                <w:color w:val="auto"/>
              </w:rPr>
            </w:pPr>
            <w:r>
              <w:rPr>
                <w:rFonts w:ascii="Times New Roman" w:cs="Times New Roman" w:eastAsia="Times New Roman" w:hAnsi="Times New Roman"/>
                <w:sz w:val="13"/>
                <w:szCs w:val="13"/>
                <w:b w:val="1"/>
                <w:bCs w:val="1"/>
                <w:color w:val="auto"/>
              </w:rPr>
              <w:t>Vested RSUs</w:t>
            </w:r>
          </w:p>
        </w:tc>
        <w:tc>
          <w:tcPr>
            <w:tcW w:w="198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Unvested RSUs</w:t>
            </w:r>
          </w:p>
        </w:tc>
        <w:tc>
          <w:tcPr>
            <w:tcW w:w="100" w:type="dxa"/>
            <w:vAlign w:val="bottom"/>
          </w:tcPr>
          <w:p>
            <w:pPr>
              <w:spacing w:after="0"/>
              <w:rPr>
                <w:sz w:val="10"/>
                <w:szCs w:val="10"/>
                <w:color w:val="auto"/>
              </w:rPr>
            </w:pPr>
          </w:p>
        </w:tc>
        <w:tc>
          <w:tcPr>
            <w:tcW w:w="5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Stock-Based Compensation Expense</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2720" w:type="dxa"/>
            <w:vAlign w:val="bottom"/>
            <w:gridSpan w:val="2"/>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2"/>
                <w:szCs w:val="12"/>
                <w:b w:val="1"/>
                <w:bCs w:val="1"/>
                <w:color w:val="auto"/>
              </w:rPr>
              <w:t>(1)</w:t>
            </w: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2"/>
                <w:szCs w:val="12"/>
                <w:b w:val="1"/>
                <w:bCs w:val="1"/>
                <w:color w:val="auto"/>
              </w:rPr>
              <w:t>(2)</w:t>
            </w:r>
          </w:p>
        </w:tc>
        <w:tc>
          <w:tcPr>
            <w:tcW w:w="5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40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“Vested” RSUs represent the shares underlying RSUs for which the service condition had been satisfied as of March 31, 2014.</w:t>
      </w:r>
    </w:p>
    <w:p>
      <w:pPr>
        <w:ind w:left="460" w:right="18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“Unvested” RSUs represent the shares underlying RSUs for which the service condition had not been satisfied as of March 31, 2014.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9920" w:val="left"/>
        </w:tabs>
        <w:rPr>
          <w:sz w:val="20"/>
          <w:szCs w:val="20"/>
          <w:color w:val="auto"/>
        </w:rPr>
      </w:pPr>
      <w:r>
        <w:rPr>
          <w:rFonts w:ascii="Times New Roman" w:cs="Times New Roman" w:eastAsia="Times New Roman" w:hAnsi="Times New Roman"/>
          <w:sz w:val="18"/>
          <w:szCs w:val="18"/>
          <w:color w:val="auto"/>
        </w:rPr>
        <w:t>We estimate that the remaining unrecognized stock-based compensation expense relating to the RSUs would be approximately $</w:t>
      </w:r>
      <w:r>
        <w:rPr>
          <w:sz w:val="20"/>
          <w:szCs w:val="20"/>
          <w:color w:val="auto"/>
        </w:rPr>
        <w:tab/>
      </w:r>
      <w:r>
        <w:rPr>
          <w:rFonts w:ascii="Times New Roman" w:cs="Times New Roman" w:eastAsia="Times New Roman" w:hAnsi="Times New Roman"/>
          <w:sz w:val="17"/>
          <w:szCs w:val="17"/>
          <w:color w:val="auto"/>
        </w:rPr>
        <w:t>million, after giving</w:t>
      </w:r>
    </w:p>
    <w:p>
      <w:pPr>
        <w:spacing w:after="0" w:line="27" w:lineRule="exact"/>
        <w:rPr>
          <w:sz w:val="20"/>
          <w:szCs w:val="20"/>
          <w:color w:val="auto"/>
        </w:rPr>
      </w:pPr>
    </w:p>
    <w:p>
      <w:pPr>
        <w:ind w:left="780" w:right="420" w:hanging="764"/>
        <w:spacing w:after="0" w:line="250" w:lineRule="auto"/>
        <w:rPr>
          <w:sz w:val="20"/>
          <w:szCs w:val="20"/>
          <w:color w:val="auto"/>
        </w:rPr>
      </w:pPr>
      <w:r>
        <w:rPr>
          <w:rFonts w:ascii="Times New Roman" w:cs="Times New Roman" w:eastAsia="Times New Roman" w:hAnsi="Times New Roman"/>
          <w:sz w:val="18"/>
          <w:szCs w:val="18"/>
          <w:color w:val="auto"/>
        </w:rPr>
        <w:t>effect to estimated forfeitures and would be recognized over a weighted-average period of approximately</w:t>
      </w:r>
      <w:r>
        <w:rPr>
          <w:sz w:val="20"/>
          <w:szCs w:val="20"/>
          <w:color w:val="auto"/>
        </w:rPr>
        <w:t xml:space="preserve"> </w:t>
      </w:r>
      <w:r>
        <w:rPr>
          <w:rFonts w:ascii="Times New Roman" w:cs="Times New Roman" w:eastAsia="Times New Roman" w:hAnsi="Times New Roman"/>
          <w:sz w:val="18"/>
          <w:szCs w:val="18"/>
          <w:color w:val="auto"/>
        </w:rPr>
        <w:t>years if this offering became effective on 2014.</w:t>
      </w:r>
    </w:p>
    <w:p>
      <w:pPr>
        <w:spacing w:after="0" w:line="200" w:lineRule="exact"/>
        <w:rPr>
          <w:sz w:val="20"/>
          <w:szCs w:val="20"/>
          <w:color w:val="auto"/>
        </w:rPr>
      </w:pPr>
    </w:p>
    <w:p>
      <w:pPr>
        <w:spacing w:after="0" w:line="214"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estimates future stock-based compensation expense related to all outstanding equity awards, inclusive of the pro forma impact of RSUs discussed above, net of estimated forfeitures. The table does not take into account any stock-based compensation expense related to future awards that may be granted to employees, directors, or other service providers.</w:t>
      </w:r>
    </w:p>
    <w:p>
      <w:pPr>
        <w:spacing w:after="0" w:line="197" w:lineRule="exact"/>
        <w:rPr>
          <w:sz w:val="20"/>
          <w:szCs w:val="20"/>
          <w:color w:val="auto"/>
        </w:rPr>
      </w:pPr>
    </w:p>
    <w:p>
      <w:pPr>
        <w:ind w:left="8240"/>
        <w:spacing w:after="0"/>
        <w:tabs>
          <w:tab w:leader="none" w:pos="8900" w:val="left"/>
          <w:tab w:leader="none" w:pos="9560" w:val="left"/>
          <w:tab w:leader="none" w:pos="10240" w:val="left"/>
          <w:tab w:leader="none" w:pos="1094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7620</wp:posOffset>
            </wp:positionV>
            <wp:extent cx="2109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8960"/>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Performance awards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awards with only service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Valuation of Common Stock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Given the absence of an active market for our common stock prior to our initial public offering, our board of directors was required to estimate the fair value of our common stock at the time of each option grant based upon several factors, including its consideration of input from management and contemporaneous third-party valuations.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The exercise price for all stock options granted was at the estimated fair value of the underlying common stock, as estimated on the date of grant by our board of directors in accordance with the guidelines outlined in the American Institute of Certified Public Accountants, </w:t>
      </w:r>
      <w:r>
        <w:rPr>
          <w:rFonts w:ascii="Times New Roman" w:cs="Times New Roman" w:eastAsia="Times New Roman" w:hAnsi="Times New Roman"/>
          <w:sz w:val="18"/>
          <w:szCs w:val="18"/>
          <w:i w:val="1"/>
          <w:iCs w:val="1"/>
          <w:color w:val="auto"/>
        </w:rPr>
        <w:t>Valuation of Privately-Held-Company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Issued as Compensation</w:t>
      </w:r>
      <w:r>
        <w:rPr>
          <w:rFonts w:ascii="Times New Roman" w:cs="Times New Roman" w:eastAsia="Times New Roman" w:hAnsi="Times New Roman"/>
          <w:sz w:val="18"/>
          <w:szCs w:val="18"/>
          <w:color w:val="auto"/>
        </w:rPr>
        <w:t>. Each fair value estimate was based on a variety of factors, which included the following:</w:t>
      </w:r>
    </w:p>
    <w:p>
      <w:pPr>
        <w:spacing w:after="0" w:line="82"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operating and financial performance;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discounted cash flow analysis;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technology companies;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and analysis of mergers and acquisitions of comparable technology companies;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preferred stock relative to the common stock;</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sale given prevailing market conditions and the nature and history of our business;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necessary to recognize a lack of marketability for our common stock;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economic market conditions.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granted the following stock-based awards since January 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520" w:type="dxa"/>
            <w:vAlign w:val="bottom"/>
            <w:gridSpan w:val="2"/>
            <w:vMerge w:val="continue"/>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or RSUs</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u w:val="single" w:color="auto"/>
                <w:color w:val="auto"/>
              </w:rPr>
              <w:t>Price($</w:t>
            </w: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w:t>
            </w:r>
          </w:p>
        </w:tc>
        <w:tc>
          <w:tcPr>
            <w:tcW w:w="5800" w:type="dxa"/>
            <w:vAlign w:val="bottom"/>
            <w:tcBorders>
              <w:top w:val="single" w:sz="8" w:color="CCEEFF"/>
            </w:tcBorders>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w w:val="92"/>
              </w:rPr>
              <w:t>6, 2013</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415,250</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2.03</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6, 2013</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RSU’s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2,150,000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8, 2013</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4.38</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8, 2013</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RSU’s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30, 2013</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835,187</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4.47</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17, 2013</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291,500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4.52</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24, 2013</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488,000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4.80</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24, 2013</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RSUs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4, 2013</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300,000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4.80</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4, 2013</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RSUs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300,000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2013</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444,100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29, 2014</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1,431,871</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5.38</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2.69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2014</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RSUs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748,250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5.38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11, 2014</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921,453</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5.65</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11, 2014</w:t>
            </w: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RSUs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237,900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these fair value estimates, our common stock was generally estimated or reconciled using an income and market approach.</w:t>
      </w:r>
    </w:p>
    <w:p>
      <w:pPr>
        <w:spacing w:after="0" w:line="22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the income approach, the enterprise value is estimated by performing a discounted cash flow, or DCF, analysis. The fair value of our common stock determined in connection with the grants presented above, other than the grants made in January 2014, was 50% weighted using the DCF analysis. The fair value of our common stock determined in connection with the grants made in January 2014 was 40% weighted using the DCF analysis. The DCF analysis requires the development and analysis of the forecasted future financial performance of the company, including revenues, operating expenses and taxes, as well as working capital and capital asset requirements. The discrete forecast period analyzed extends to the point at which the company will be expected to have reached a steady state of growth and profitability. The projected cash flows are then discounted to a present value employing a discount rate that properly accounts for the estimated market weighted average cost of capital, as well as any risk unique to our cash flows. Finally, an assumption is made regarding the sustainable long-term rate of growth beyond the discrete forecast period, and a residual value is estimated and discounted to a present value. The sum of the present value of the discrete cash flows and the residual, or “terminal,” value represents the estimated fair value of the total enterprise value of the company. This value is then adjusted for non-operational assets, liabilities and interest bearing debt to conclude the equity value of the company.</w:t>
      </w:r>
    </w:p>
    <w:p>
      <w:pPr>
        <w:spacing w:after="0" w:line="18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Under the market approach, the enterprise value is estimated by performing a guideline public company, or GPC analysis, and a guideline transaction, or GT, analysis. The fair value of our common stock determined in connection with the grants presented above, other than the grants made in January 2014, was 30% weighted using the GPC analysis and 20% using the GT analysis. The fair value of our common stock determined in connection with the grants made in January 2014 were 40% weighted using the GPC analysis and 20% using the GT analysis.</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guideline public company analysis is based upon the premise that indications of value for a given entity can be estimated based upon the observed valuation multiples of comparable public companies, the equity of which is freely-traded by investors in the public securities markets. The first step in this analysis involves the selection of a peer group of companies from which it is believed relevant data can be obtained. The second step involves the calculation of the relevant valuation multiple or multiples for each company in the peer group. The final step involves the selection and application of the appropriate multiples to the relevant financial metrics of our company. Depending upon the nature of the multiple, the resulting value indication may then be adjusted for non-operational assets, liabilities and interest bearing debt to conclude the equity value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guideline transaction analysis is based upon the premise that indications of value for a given entity can be estimated based upon the valuation multiples implied by transactions involving companies that are comparable to the subject company. The first step in this analysis involves the identification of transactions from which it is believed relevant data can be obtained. The second step involves the calculation of the relevant valuation multiple or multiples for each transaction in the comparable group. The final step involves the selection and application of the appropriate multiples to the relevant financial metrics of our company. Depending upon the nature of the multiple, the resulting value indication may then be adjusted for non-operational assets, liabilities and interest bearing debt to conclude the equity value.</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Once the equity value is estimated it is then allocated among the various classes of securities to arrive at the fair value of the common stock. For this allocation, the OPM was used for all grants. The OPM entails allocating the equity value to the various share classes based upon their respective claims on a series of call options with strike prices at various value levels depending upon the rights and preferences of each class. A Black-Scholes option pricing model is employed to value the options, with an option term assumption consistent with management’s expected time to a liquidity event and a volatility assumption based on the estimated stock price volatility of a peer group of comparable public companies over a similar term. The differential in value between each successive option represents the value of that tranche, which is then allocated to all the share classes based on their percentage ownership claim at that level of value.</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For each grant date the board and management estimated two different liquidity event scenarios (non-initial public offering and initial public offering) which were then applied to two different option pricing models (non- initial public offering and initial public offering) and weighted based on the board management’s expectations.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Applying the non- initial public offering and initial public offering OPMs result in an estimated marketable, minority fair value of our common stock for each grant date. A discount for lack of marketability, or DLOM, based both on an option based approach (put option) and empirical evidence from sources incorporating studies of companies with characteristics similar to ours is then applied, yielding a fair value of our common stock on a non-marketable, minority interest basis.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net fair value of the identifiable assets acquired and liabilities assumed. Goodwill is not amortized, but rather is assessed for impairment at least annually. We perform our annual impairment assessment on November 30 of each year. We operate under one reporting unit and as a result, evaluate goodwill impairment based on our fair value as a whole.</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To determine the number of operating segments and reporting units that are present, we analyzed whether there is any customer, product or geographic information that drives the chief operating decision maker (our chief executive and operating officers) decisions on how to allocate resources and whether any segment management exists. Management has concluded that operating decisions are made at the consolidated company level and there is no segment management in place that reviews results of operations with the chief operating decision maker.</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assessing goodwill for impairment, an entity has the option to assess qualitative factors to determine whether events or circumstances indicate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An entity can choose not to perform a qualitative assessment for any of its reporting units, and proceed directly to the use of the two-step impairment test.</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When assessing goodwill for impairment for the year ended December 31, 2013, we decided to use the two-step quantitative analysis. We determined our enterprise value used a weighted average of (1) an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approach using a discounted cash flow analysis and (2) a market approach using comparable public company metrics to determine the fair value of our one reporting unit, the consolidated company. Based on the results of our most recent annual assessment performed on November 30, 2013, we concluded that the fair value of our reporting unit exceeded its carrying amount and there was no impairment of goodwill.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a business. Below is a table that shows the projected outlays as of December 31,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1-3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3-5</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obligations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4,257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10,730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11,995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39,014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4,392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10,919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11,995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October 2013, the Company extended its capital lease agreement for the purchase of equipment and financing of maintenance and installation costs with an original fair value of $299 thousand. The lease is payable in 36 monthly payments through September 2016. The total outstanding balance, including interest, financed under capital leases was $324 thousand as of December 31, 2013 and $271 thousand as of March 31, 2014.</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As of December 31, 2013, the Company has leases that expire at various dates through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no material off-balance sheet arrangements at December 31, 2013 and March 31, 2014, exclusive of operating leases and indemnifications on officers, directors and employees for certain events or occurrences while the officer, director or employee is, or was, serving at the Company’s request in such capacity.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are not currently subject to significant foreign currency exchange risk. However, we have foreign currency risks related to our revenue and operating expenses denominated in currencies other than the U.S. dollar, primarily the Euro and British Pound Sterling. Decreases in the relative value of the U.S. dollar to other currencies may negatively affect our revenue and other operating results as expressed in U.S. dollars.</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three years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hold cash for working capital purposes. We do not have material exposure to market risk with respect to investments, as any investments we enter into are primarily highly liquid investments. We have a growth capital credit line and a revolving credit line which we had not utilized as of December 31, 2012, December 31, 2013 or March 31, 2014. The interest rate associated with the growth capital line is the prime lending rate plus 1%. The interest rate associated with the revolving line is the prime lending rate. A 10% increase or decrease in interest rates would not result in a material change in either our obligations under the lines of credit, even at the borrowing limit, or in the returns on our cash</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Section 107 of the Jumpstart Our Small Business Startups Act, or JOBS Act, provides that an “emerging growth company” can take advantage of the extended transition period afforded by the JOBS Act for the implementation of new or revised accounting standards.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00"/>
          </w:cols>
          <w:pgMar w:left="240" w:top="45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FOUNDERS’ LETTER FROM BRIAN HALLIGAN AND DHARMESH SHAH</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Raise your hand if you know a business that would like more visitors to its website, more leads for its sales team—and more customers to fuel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Chances are your hand is up. We all know businesses that want to grow. There are </w:t>
      </w:r>
      <w:r>
        <w:rPr>
          <w:rFonts w:ascii="Times New Roman" w:cs="Times New Roman" w:eastAsia="Times New Roman" w:hAnsi="Times New Roman"/>
          <w:sz w:val="18"/>
          <w:szCs w:val="18"/>
          <w:i w:val="1"/>
          <w:iCs w:val="1"/>
          <w:color w:val="auto"/>
        </w:rPr>
        <w:t>millions</w:t>
      </w:r>
      <w:r>
        <w:rPr>
          <w:rFonts w:ascii="Times New Roman" w:cs="Times New Roman" w:eastAsia="Times New Roman" w:hAnsi="Times New Roman"/>
          <w:sz w:val="18"/>
          <w:szCs w:val="18"/>
          <w:color w:val="auto"/>
        </w:rPr>
        <w:t xml:space="preserve"> of them.</w:t>
      </w:r>
    </w:p>
    <w:p>
      <w:pPr>
        <w:spacing w:after="0" w:line="207"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Now, raise your hand if you love getting cold calls from eager sales people during dinner. Or spam emails with irrelevant offers in your inbox. How about pop-up ads when you’re trying to read an article on the Internet? No hands up? Didn’t think so. And, as it turns out, most other people share your sentiment.</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The problem is that there’s a fundamental mismatch between how organizations are marketing and selling their offerings—and the way that people </w:t>
      </w:r>
      <w:r>
        <w:rPr>
          <w:rFonts w:ascii="Times New Roman" w:cs="Times New Roman" w:eastAsia="Times New Roman" w:hAnsi="Times New Roman"/>
          <w:sz w:val="18"/>
          <w:szCs w:val="18"/>
          <w:i w:val="1"/>
          <w:iCs w:val="1"/>
          <w:color w:val="auto"/>
        </w:rPr>
        <w:t xml:space="preserve">actually </w:t>
      </w:r>
      <w:r>
        <w:rPr>
          <w:rFonts w:ascii="Times New Roman" w:cs="Times New Roman" w:eastAsia="Times New Roman" w:hAnsi="Times New Roman"/>
          <w:sz w:val="18"/>
          <w:szCs w:val="18"/>
          <w:color w:val="auto"/>
        </w:rPr>
        <w:t>want to shop and buy.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story behind a startlingly simple observation.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2004, we met as graduate students at MIT. Brian was helping venture-backed startups with their go-to-market strategy. He noticed something curious: the tried and true tactics (trade shows, email blasts and cold calling) that had worked at his previous companies simply weren’t effective anymore. Customers had gotten really good at blocking out interruptive marketing and sales tactics.</w:t>
      </w:r>
    </w:p>
    <w:p>
      <w:pPr>
        <w:spacing w:after="0" w:line="174"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Meanwhile, Dharmesh started a blog called </w:t>
      </w:r>
      <w:r>
        <w:rPr>
          <w:rFonts w:ascii="Times New Roman" w:cs="Times New Roman" w:eastAsia="Times New Roman" w:hAnsi="Times New Roman"/>
          <w:sz w:val="18"/>
          <w:szCs w:val="18"/>
          <w:i w:val="1"/>
          <w:iCs w:val="1"/>
          <w:color w:val="auto"/>
        </w:rPr>
        <w:t>OnStartups</w:t>
      </w:r>
      <w:r>
        <w:rPr>
          <w:rFonts w:ascii="Times New Roman" w:cs="Times New Roman" w:eastAsia="Times New Roman" w:hAnsi="Times New Roman"/>
          <w:sz w:val="18"/>
          <w:szCs w:val="18"/>
          <w:color w:val="auto"/>
        </w:rPr>
        <w:t xml:space="preserve"> with reflections on entrepreneurship. The blog gained mass appeal and massive traffic, surprising us both. One topic interested us: why was a tiny blog written by a grad student with no budget able to get so much more traffic and interest than companies with professional marketing teams and big budgets?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Madison Avenue, we have a problem.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many meetings, much coffee and the occasional wine or Belgian beer (a favorite for both of us), we came to a startlingly simple observation.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do not want to be interrupted by marketers or harassed by sales people. They want to be helped.</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world has changed dramatically: people no longer live, work, shop and buy as they did a decade or two ago. And yet, businesses still try to market and sell like it’s 1999.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Inbound: a more effective way to attract, engage, and delight.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Nothing is more powerful than an idea whose time has come.</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We started talking about this transformation in how people shop and buy. We called the traditional method “outbound”—because it was fundamentally about pushing a message out, and started calling the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way “inbound.” Inbound is about </w:t>
      </w:r>
      <w:r>
        <w:rPr>
          <w:rFonts w:ascii="Times New Roman" w:cs="Times New Roman" w:eastAsia="Times New Roman" w:hAnsi="Times New Roman"/>
          <w:sz w:val="18"/>
          <w:szCs w:val="18"/>
          <w:i w:val="1"/>
          <w:iCs w:val="1"/>
          <w:color w:val="auto"/>
        </w:rPr>
        <w:t>pulling</w:t>
      </w:r>
      <w:r>
        <w:rPr>
          <w:rFonts w:ascii="Times New Roman" w:cs="Times New Roman" w:eastAsia="Times New Roman" w:hAnsi="Times New Roman"/>
          <w:sz w:val="18"/>
          <w:szCs w:val="18"/>
          <w:color w:val="auto"/>
        </w:rPr>
        <w:t xml:space="preserve"> people in by sharing relevant information, creating useful content and generally being </w:t>
      </w:r>
      <w:r>
        <w:rPr>
          <w:rFonts w:ascii="Times New Roman" w:cs="Times New Roman" w:eastAsia="Times New Roman" w:hAnsi="Times New Roman"/>
          <w:sz w:val="18"/>
          <w:szCs w:val="18"/>
          <w:i w:val="1"/>
          <w:iCs w:val="1"/>
          <w:color w:val="auto"/>
        </w:rPr>
        <w:t>helpful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response was overwhelmingly positive and incredibly exciting. </w:t>
      </w:r>
      <w:r>
        <w:rPr>
          <w:rFonts w:ascii="Times New Roman" w:cs="Times New Roman" w:eastAsia="Times New Roman" w:hAnsi="Times New Roman"/>
          <w:sz w:val="18"/>
          <w:szCs w:val="18"/>
          <w:i w:val="1"/>
          <w:iCs w:val="1"/>
          <w:color w:val="auto"/>
        </w:rPr>
        <w:t>Inbound was an idea whose time had come.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Getting businesses off the sidelines and into the game</w:t>
      </w:r>
    </w:p>
    <w:p>
      <w:pPr>
        <w:spacing w:after="0" w:line="121"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The next question was—if the concept of inbound was so easy to understand and inspiring, why weren’t more businesses doing it? Why were millions of businesses sitting on the sidelines instead of tapping into the power of this transformation?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20"/>
          </w:cols>
          <w:pgMar w:left="24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reason was clear: it was too hard to get started.</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There were content management systems and SEO tools and social media applications and marketing automation tools and on...and on...and on. Many of these individual tools were great—but the task of gluing them together was Herculean. It wasn’t within the realm of mere mortals.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issue wasn’t a lack of tools, but that there were </w:t>
      </w:r>
      <w:r>
        <w:rPr>
          <w:rFonts w:ascii="Times New Roman" w:cs="Times New Roman" w:eastAsia="Times New Roman" w:hAnsi="Times New Roman"/>
          <w:sz w:val="18"/>
          <w:szCs w:val="18"/>
          <w:i w:val="1"/>
          <w:iCs w:val="1"/>
          <w:color w:val="auto"/>
        </w:rPr>
        <w:t>too many</w:t>
      </w:r>
      <w:r>
        <w:rPr>
          <w:rFonts w:ascii="Times New Roman" w:cs="Times New Roman" w:eastAsia="Times New Roman" w:hAnsi="Times New Roman"/>
          <w:sz w:val="18"/>
          <w:szCs w:val="18"/>
          <w:color w:val="auto"/>
        </w:rPr>
        <w:t>. Too many products to learn. Too many passwords to remember. Too many bills to pay.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too many phone numbers to call for help. We wanted to stop the madness.</w:t>
      </w:r>
    </w:p>
    <w:p>
      <w:pPr>
        <w:spacing w:after="0" w:line="20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started HubSpot with one simple goal: make it easier to get going with inbound, so businesses could get growing. One platform to learn. One password to remember. One bill to pay. And, one phone number to call. One integrated system, designed from the ground up to transform how organizations market and sell.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 Code as competitive advantage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To achieve our vision of transforming how organizations market and sell, we had to attract and retain the best people in the world. HubSpot’s culture is predicated on radical transparency, individual autonomy and enlightened empathy. We codified and publicly shared our approach to this different kind of workplace in HubSpot’s Culture Code slide deck. It has been viewed over a million times, shared on social media thousands of times, and received remarkable acclaim.</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culture is a powerful weapon in the battle for amazing people.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funny thing happened along the way…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we started HubSpot in a tiny one-room office a block from the MIT campus, we thought we were starting a software company. We were wrong.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not just started a software company, we had sparked an entire movement.</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believe we’re still in the early innings of what the inbound movement can and will become, and that we’ve built a company and a community that is ambitious, crazy and talented enough to transform how the world’s organizations market and sell.</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We are very grateful to our approximately 11,000 customers, 1,500 marketing agency partners, and millions of fans who support our mission to make the world inbound.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Success is making those that believed in you look brilliant.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work passionately to make you look brilliant.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Thanks for joining us on this journey.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Halligan &amp; Dharmesh Shah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provide a cloud-based marketing and sales software platform that enables businesses to deliver an inbound experience. An inbound marketing and sales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People have transformed how they consume information, research products and services, make purchasing decisions and share their views and experiences. Today, customers are blocking out the tactics from the traditional marketing and sales playbook, such as cold calls, unsolicited emails and disruptive advertisements. Customers are taking more control of the purchasing process, including by using search engines and social media to research products and services. Despite this transformation, most businesses are using an outdated marketing and sales playbook that is essentially the same today as it was 10 years ago. To compete effectively, we believe businesses need to deliver an inbound experience by adopting new strategies and technologies to attract, engage and delight customers.</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lifecycle. Our platform uses our centralized inbound database to empower businesses to create more personalized interactions with customers, such as personalized emails, personalized social media alerts, personalized websites and targeted alerts for sales people. We provide a comprehensive set of integrated applications on our platform, which offers businesses ease of use, power and simplicity. We designed and built our platform to serve a large numbers of customers of any size with demanding use cases.</w:t>
      </w:r>
    </w:p>
    <w:p>
      <w:pPr>
        <w:spacing w:after="0" w:line="188"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7"/>
          <w:szCs w:val="17"/>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marketing agency partners worldwide. Our platform is particularly suited to serving the needs of mid-market B2B companies. These mid-market businesses seek an integrated, easy to implement and easy to use solution to reach customers and compete with organizations that have larger marketing and sales budgets. As of March 31, 2014, we had approximately 11,000 customers of varying sizes in more than 70 countries, representing almost every industry.</w:t>
      </w:r>
    </w:p>
    <w:p>
      <w:pPr>
        <w:spacing w:after="0" w:line="1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have a leading brand in the cloud-based inbound marketing and sales software industry. Our brand recognition comes from our thought leadership, including our blog, which attracts approximately 1.4 million visits each month, and our commitment to innovation. Our founders, Brian Halligan and Dharmesh Shah, wrote the best-selling marketing book </w:t>
      </w:r>
      <w:r>
        <w:rPr>
          <w:rFonts w:ascii="Times New Roman" w:cs="Times New Roman" w:eastAsia="Times New Roman" w:hAnsi="Times New Roman"/>
          <w:sz w:val="18"/>
          <w:szCs w:val="18"/>
          <w:i w:val="1"/>
          <w:iCs w:val="1"/>
          <w:color w:val="auto"/>
        </w:rPr>
        <w:t>Inbound Marketing: Get Found Using Google, Social Media and Blogs</w:t>
      </w:r>
      <w:r>
        <w:rPr>
          <w:rFonts w:ascii="Times New Roman" w:cs="Times New Roman" w:eastAsia="Times New Roman" w:hAnsi="Times New Roman"/>
          <w:sz w:val="18"/>
          <w:szCs w:val="18"/>
          <w:color w:val="auto"/>
        </w:rPr>
        <w:t>. We also have one of the largest social media followings in our industry and our INBOUND conference is one of the largest inbound industry conference events.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sell our platform on a subscription basis. Our total revenue increased from $28.6 million in 2011, to $51.6 million in 2012 to $77.6 million in 2013, representing year-over-year increases of 81% in 2012 and 50% in 2013. Our total revenue increased from $16.7 million for the three months ended March 31, 2013 to $24.2 million for the three months ended March 31, 2014, representing a quarter-over-quarter increase of 44%. We had net losses of $24.4 million in 2011, $18.8 million in 2012, $34.3 million in 2013, $7.5 million for the three months ended March 31, 2013, and $9.5 million for the three months ended March 31, 2014.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People Have Changed How They Interact with Businesses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believe an effective way to illustrate how people have transformed the way they consume information, research products and services, make purchasing decisions and share their views and experiences is by describing two hypothetical people—Traditional Ted and Modern Meghan.</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Traditional Ted is an executive at a 300 person company in 2004. He keeps up to date on his industry by attending trade shows and reading the monthly industry print publication, often scanning the ads to see the vendors’ new products. He gets a fair amount of unsolicited emails from salespeople and marketers and sees an increasing number of ads on websites he visits. He also takes sales calls from vendors to stay current on industry developments. Ted opens his mail daily, and when his phone rings, he answers it because it is a critical communication tool. When Ted is looking for a new vendor, he will try to recall the ads he has seen recently or go through the brochures he has been mailed which he keeps in a file in his desk. If Ted is frustrated with a vendor, he calls the vendor and tells a couple of his colleagues about his bad experience. To relax, Ted watches TV and reads the newspaper, both of which contain advertisements.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Modern Meghan is an executive at a 300 person company in 2014. She keeps up to date on her industry by reading a number of industry blogs, following key companies and influencers on Twitter and LinkedIn and listening to podcasts in her car during her commute. She has an ad blocker running in her web browser and an email filter to block out unwanted messages. She rarely checks her mail because it is mostly “junk.” Meghan does not have a landline phone because “only salespeople call me there,” and she never answers her smartphone unless she recognizes the number. Meghan spends much more time on her phone using apps and the web than she does talking on it. If she is looking for a vendor for something her company needs, she starts by searching on Google and then asking her peers in her LinkedIn network about their experiences with different vendors. She does not even bother to talk to any of the vendor’s salespeople until she has narrowed the list and has already completed most of her decision-making process. When Meghan has trouble with one of her vendors, she contacts the vendor, but if she is not satisfied with the response, she sometimes writes a negative review online and posts a link to it on Twitter. In her free time, Meghan relaxes by watching TV shows she has previously recorded on her DVR so she can fast forward through the commercials.</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believe all of us are becoming more like Modern Meghan and less like Traditional Ted. Yet, most businesses are still doing marketing, sales and service as if everyone is like Ted. To be effective today, businesses need to transform to attract, engage and delight customers like Meghan.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Traditional Business Playbook is Broken</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Traditionally, most businesses have followed the same marketing and sales playbook to generate leads, close sales and provide support to their customers. Today, however, customers are increasingly selecting their own communication channels and expecting personalized experiences. They are blocking out traditional marketing and sales tactics, such as cold calls, unsolicited emails and disruptive advertisements, and instead, they are using search engines and social media to research products and services before they contact a vendor. Customers are increasingly taking more control of the purchasing process and influencing the purchasing behavior of others.</w:t>
      </w:r>
    </w:p>
    <w:p>
      <w:pPr>
        <w:spacing w:after="0" w:line="180"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are blocking out traditional marketing and sales tactics. </w:t>
      </w:r>
      <w:r>
        <w:rPr>
          <w:rFonts w:ascii="Times New Roman" w:cs="Times New Roman" w:eastAsia="Times New Roman" w:hAnsi="Times New Roman"/>
          <w:sz w:val="18"/>
          <w:szCs w:val="18"/>
          <w:color w:val="auto"/>
        </w:rPr>
        <w:t>Customers are ignoring traditional marketing and sales tactics, often by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to block them out. For example:</w:t>
      </w:r>
    </w:p>
    <w:p>
      <w:pPr>
        <w:spacing w:after="0" w:line="64"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over 223 million phone numbers that have been placed on the U.S. Do Not Call registry.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of people have unsubscribed from email marketing lists.</w:t>
      </w:r>
    </w:p>
    <w:p>
      <w:pPr>
        <w:spacing w:after="0" w:line="130" w:lineRule="exact"/>
        <w:rPr>
          <w:rFonts w:ascii="Times New Roman" w:cs="Times New Roman" w:eastAsia="Times New Roman" w:hAnsi="Times New Roman"/>
          <w:sz w:val="18"/>
          <w:szCs w:val="18"/>
          <w:color w:val="auto"/>
        </w:rPr>
      </w:pPr>
    </w:p>
    <w:p>
      <w:pPr>
        <w:ind w:left="5620" w:right="1840" w:hanging="5166"/>
        <w:spacing w:after="0" w:line="454" w:lineRule="auto"/>
        <w:tabs>
          <w:tab w:leader="none" w:pos="8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services and spam filters are increasingly enabling customers to filter out and de-prioritize promotional messages. 74</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of people who record TV content do so to skip advertisements, according to a recent Motorola Mobility study based on data collected in December 2012.</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advertising has limited engagement. According to DoubleClick, as of March 26, 2014, overall 3-month average industry click-through rates on display ads is only 0.2%.</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are taking control of the purchasing process. </w:t>
      </w:r>
      <w:r>
        <w:rPr>
          <w:rFonts w:ascii="Times New Roman" w:cs="Times New Roman" w:eastAsia="Times New Roman" w:hAnsi="Times New Roman"/>
          <w:sz w:val="18"/>
          <w:szCs w:val="18"/>
          <w:color w:val="auto"/>
        </w:rPr>
        <w:t>Customers can now get the information they need on their own terms. Using search engines,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media and websites, customers can research vendors and actively seek recommendations from members of their social networks. As a result, customers no longer need to talk to a salesperson until they have completed most of their purchasing decision. This limits the amount of influence businesses can have on purchase decisions when using the traditional business playbook. A 2012 Corporate Executive Board (CEB) study of more than 1,400 business-to-business customers across industries revealed that 57% of a typical purchase decision is already made before a customer even talks to a supplier.</w:t>
      </w:r>
    </w:p>
    <w:p>
      <w:pPr>
        <w:spacing w:after="0" w:line="180"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are influencing the purchasing behaviors of others. </w:t>
      </w:r>
      <w:r>
        <w:rPr>
          <w:rFonts w:ascii="Times New Roman" w:cs="Times New Roman" w:eastAsia="Times New Roman" w:hAnsi="Times New Roman"/>
          <w:sz w:val="18"/>
          <w:szCs w:val="18"/>
          <w:color w:val="auto"/>
        </w:rPr>
        <w:t>Customers are relying less on the promotional material from businesses and instead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online reviews and input from other purchasers to make their purchasing decision. Such social behavior is self-reinforcing: social buyers themselves are social sellers who influence others’ purchasing decisions. According to a survey conducted by Dimensional Research in 2013, 88% of respondents said that online reviews influenced their buying decisions. In addition, the Social Media Report published by Nielsen and NM Incite in 2011 revealed that 60% of consumers researching products through multiple online sources learned about a specific brand or retailer through social networking sites.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Businesses Need a New Playbook—The Inbound Experience</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Businesses need a more effective way to attract, engage and delight customers who have access to an abundance of information and an ability to block traditional marketing and sales tactics. To do this, businesses need to deliver an inbound experience, which enables them to be less interruptive, more helpful and more relevant to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deliver an inbound experience, businesses need to transform how they market, sell and serve customers.</w:t>
      </w:r>
    </w:p>
    <w:p>
      <w:pPr>
        <w:spacing w:after="0" w:line="129" w:lineRule="exact"/>
        <w:rPr>
          <w:sz w:val="20"/>
          <w:szCs w:val="20"/>
          <w:color w:val="auto"/>
        </w:rPr>
      </w:pPr>
    </w:p>
    <w:p>
      <w:pPr>
        <w:jc w:val="both"/>
        <w:ind w:left="900" w:right="40" w:hanging="446"/>
        <w:spacing w:after="0" w:line="267"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Businesses need to attract potential customers by maximizing search engine rankings, having an engaging social media presence,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creating and distributing useful and relevant content. Businesses need to personalize their customer interactions on websites, in social media and in emails to engage customers.</w:t>
      </w:r>
    </w:p>
    <w:p>
      <w:pPr>
        <w:spacing w:after="0" w:line="78" w:lineRule="exact"/>
        <w:rPr>
          <w:rFonts w:ascii="Times New Roman" w:cs="Times New Roman" w:eastAsia="Times New Roman" w:hAnsi="Times New Roman"/>
          <w:sz w:val="18"/>
          <w:szCs w:val="18"/>
          <w:color w:val="auto"/>
        </w:rPr>
      </w:pPr>
    </w:p>
    <w:p>
      <w:pPr>
        <w:ind w:left="900" w:right="140" w:hanging="446"/>
        <w:spacing w:after="0" w:line="28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Businesses need to build relationships with potential customers and become their trusted advisors. They must learn about and react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signals being sent by customers through websites, social media and emails, to provide personalized and helpful responses.</w:t>
      </w:r>
    </w:p>
    <w:p>
      <w:pPr>
        <w:spacing w:after="0" w:line="63" w:lineRule="exact"/>
        <w:rPr>
          <w:rFonts w:ascii="Times New Roman" w:cs="Times New Roman" w:eastAsia="Times New Roman" w:hAnsi="Times New Roman"/>
          <w:sz w:val="18"/>
          <w:szCs w:val="18"/>
          <w:color w:val="auto"/>
        </w:rPr>
      </w:pPr>
    </w:p>
    <w:p>
      <w:pPr>
        <w:jc w:val="both"/>
        <w:ind w:left="900" w:right="20" w:hanging="446"/>
        <w:spacing w:after="0" w:line="267"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Businesses need to delight their customers and inspire them to become vocal promoters by exceeding their expectations. Every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 stronger, more public voice today through blogs and social media, underscoring the importance of positive reviews and referrals in building a quality brand.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Existing Applications are Not Adequate for an Integrated Inbound Experience</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Today, businesses often use a variety of point applications for their marketing and sales efforts, including advertising, marketing automation, content management, blogging, social media management, analytics, sales management and CRM. Most of these point applications were not designed to deliver an inbound experience. Typically, they do not provide a central view of all customer interactions across channels, are difficult and expensive to implement and use together, and make it hard to measure results. We believe that these existing point applications were not designed with the platform, architecture and functionality necessary to deliver a seamless integrated inbound experience.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 Designed for an Inbound Experience. </w:t>
      </w:r>
      <w:r>
        <w:rPr>
          <w:rFonts w:ascii="Times New Roman" w:cs="Times New Roman" w:eastAsia="Times New Roman" w:hAnsi="Times New Roman"/>
          <w:sz w:val="18"/>
          <w:szCs w:val="18"/>
          <w:color w:val="auto"/>
        </w:rPr>
        <w:t>Traditional marketing applications through rely on advertising and cold calling for lead generation instead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inbound methods. These applications are not designed to personalize and optimize every interaction with customers on websites, in social media and by email across devices, and do not typically allow sales and service teams to see the signals their prospects are sending in real time.</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Centralized Inbound Database of Customer Interactions. </w:t>
      </w:r>
      <w:r>
        <w:rPr>
          <w:rFonts w:ascii="Times New Roman" w:cs="Times New Roman" w:eastAsia="Times New Roman" w:hAnsi="Times New Roman"/>
          <w:sz w:val="18"/>
          <w:szCs w:val="18"/>
          <w:color w:val="auto"/>
        </w:rPr>
        <w:t>Businesses typically need to use one point application for website content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different point application for blogging, another point application for social media management, another point application for email and marketing automation, another point application for content personalization, another point application for analytics, another point application for sales management and CRM, and yet another point application to alert salespeople of key customer signals in real time. This disparate collection of point applications makes it difficult to get a 360-degree view of a customer’s interactions and use that data to provide a better customer experience and drive a more effective marketing and sales process. In addition, existing point applications are typically not designed to manage, process and analyze all of the customer data created by these various touchpoints because they use older technologies, not big data technologies such as HBase, Hadoop that are designed for massive scale.</w:t>
      </w:r>
    </w:p>
    <w:p>
      <w:pPr>
        <w:spacing w:after="0" w:line="18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Difficult and Expensive to Implement and Use. </w:t>
      </w:r>
      <w:r>
        <w:rPr>
          <w:rFonts w:ascii="Times New Roman" w:cs="Times New Roman" w:eastAsia="Times New Roman" w:hAnsi="Times New Roman"/>
          <w:sz w:val="18"/>
          <w:szCs w:val="18"/>
          <w:color w:val="auto"/>
        </w:rPr>
        <w:t>Using a collection of disparate point applications means a separate implementation process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Often businesses will need to use outside consultants or hire new employees with specific technical expertise to implement and use these different applications, resulting in significant additional costs. This collection of disparate point applications also requires that businesses manage a variety of different log-ins and user interfaces, as well as get support from different vendors, often just to do something the business sees as one process, such as running a marketing campaign. While ease of implementation and use are important for businesses of all sizes, they are critical for mid-market businesses.</w:t>
      </w:r>
    </w:p>
    <w:p>
      <w:pPr>
        <w:spacing w:after="0" w:line="18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 to Measure Results. </w:t>
      </w:r>
      <w:r>
        <w:rPr>
          <w:rFonts w:ascii="Times New Roman" w:cs="Times New Roman" w:eastAsia="Times New Roman" w:hAnsi="Times New Roman"/>
          <w:sz w:val="18"/>
          <w:szCs w:val="18"/>
          <w:color w:val="auto"/>
        </w:rPr>
        <w:t>Because all the customer touchpoints through the marketing, sales and service processes are typically stored in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disconnected point applications, it is very difficult to get a 360-degree view of a customer’s interactions and measure the effectiveness of marketing and sales programs. Businesses will often purchase yet another application to try to measure results across their multiple applications, adding even more expense and complexity to an already complex collection of different point applications.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there is a large market opportunity created by the fundamental transformation in marketing and sales. Businesses of nearly all sizes and in nearly all industries can benefit from delivering an inbound experience to attract, engage and delight their customers. We focus on selling our platform to mid-market businesses, which we define as businesses that have between 10 and 2,000 employees. As of March 31, 2014, we had 10,902 customers, and our average subscription revenue per customer in the three months ended March 31, 2014 was $8,484. According to AMI Partners, in 2013, there were</w:t>
      </w:r>
    </w:p>
    <w:p>
      <w:pPr>
        <w:spacing w:after="0" w:line="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1.6 million of these mid-market businesses with a website presence in the United States and Canada and 1.3 million in Europe. According to a January 2014 study by Mintigo of 186,500 U.S.-based B2B companies of varying sizes, only 3% of those companies had implemented any of the most common marketing automation applications.</w:t>
      </w:r>
    </w:p>
    <w:p>
      <w:pPr>
        <w:spacing w:after="0" w:line="18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believe our platform addresses several segments of existing marketing, sales and services software and that spending in each of these segments will increasingly shift to platforms that enable an inbound experience. According to a May 2013 report by IDC, worldwide spending on CRM applications, including marketing automation, sales automation, customer service and contact center, was forecast to be $22.3 billion in 2013 and is expected to grow to $29.0 billion in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Our Solution</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We provide a cloud-based, all-in-one inbound marketing and sales software platform that helps businesses attract, engage and delight customers throughout the customer lifecycle. Our platform features a central inbound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database of customer interactions and integrated applications to help businesses attract visitors to their websites, convert visitors into leads, close leads into customers and delight customers so they become promoters of those businesses.</w:t>
      </w:r>
    </w:p>
    <w:p>
      <w:pPr>
        <w:spacing w:after="0" w:line="15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Designed for an Inbound Experience. </w:t>
      </w:r>
      <w:r>
        <w:rPr>
          <w:rFonts w:ascii="Times New Roman" w:cs="Times New Roman" w:eastAsia="Times New Roman" w:hAnsi="Times New Roman"/>
          <w:sz w:val="18"/>
          <w:szCs w:val="18"/>
          <w:color w:val="auto"/>
        </w:rPr>
        <w:t>Our platform was architected from the ground up to enable businesses to transform their marketing and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playbook to meet the demands of today’s customers. Our platform includes integrated applications to help businesses efficiently attract more customers through search engine optimization, social media, blogging and other useful content. In addition, our platform is designed to help businesses personalize and optimize interactions with their customers through websites, landing pages, social media and emails, and across devices.</w:t>
      </w:r>
    </w:p>
    <w:p>
      <w:pPr>
        <w:spacing w:after="0" w:line="177" w:lineRule="exact"/>
        <w:rPr>
          <w:sz w:val="20"/>
          <w:szCs w:val="20"/>
          <w:color w:val="auto"/>
        </w:rPr>
      </w:pPr>
    </w:p>
    <w:p>
      <w:pPr>
        <w:ind w:right="3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Ease of Use of All-In-One Platform. </w:t>
      </w:r>
      <w:r>
        <w:rPr>
          <w:rFonts w:ascii="Times New Roman" w:cs="Times New Roman" w:eastAsia="Times New Roman" w:hAnsi="Times New Roman"/>
          <w:sz w:val="18"/>
          <w:szCs w:val="18"/>
          <w:color w:val="auto"/>
        </w:rPr>
        <w:t>We provide a set of integrated applications on a common platform, which offers businesses ease of use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simplicity. Our platform has one login, one user interface, one inbound database and one number to call for support: 888-HUBSPOT. Our platform is designed to be used by people without technical training, does not require an expert or technical system administrator and was built to make it easy to get started. Because of its ease of use and integration, our platform enables businesses to focus on attracting, engaging and delighting customers, instead of spending time and money coordinating their marketing and sales efforts across multiple point applications.</w:t>
      </w:r>
    </w:p>
    <w:p>
      <w:pPr>
        <w:spacing w:after="0" w:line="18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of All-In-One Platform. </w:t>
      </w:r>
      <w:r>
        <w:rPr>
          <w:rFonts w:ascii="Times New Roman" w:cs="Times New Roman" w:eastAsia="Times New Roman" w:hAnsi="Times New Roman"/>
          <w:sz w:val="18"/>
          <w:szCs w:val="18"/>
          <w:color w:val="auto"/>
        </w:rPr>
        <w:t>At the core of our platform is a single inbound database for each business that captures its customer activity throughout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customer lifecycle. For example, our platform creates a unified timeline incorporating all the interactions with a particular person. If a business’s customer visits its website, comments on its blog, opens an email it sent, interacts with the business on Twitter, watches one of its videos, fills out a form, or is marked as a sales opportunity by its salesperson, all of that activity is centrally managed and presented on the timeline for that contact and is available for use across our applications. Our platform also makes it easy to use the customer data to empower more personalized interactions with the customer, such as personalized social media alerts, personalized content on a business’s website, personalized emails and targeted alerts to its sales people.</w:t>
      </w:r>
    </w:p>
    <w:p>
      <w:pPr>
        <w:spacing w:after="0" w:line="18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 ROI for Customers. </w:t>
      </w:r>
      <w:r>
        <w:rPr>
          <w:rFonts w:ascii="Times New Roman" w:cs="Times New Roman" w:eastAsia="Times New Roman" w:hAnsi="Times New Roman"/>
          <w:sz w:val="18"/>
          <w:szCs w:val="18"/>
          <w:color w:val="auto"/>
        </w:rPr>
        <w:t>Our platform delivers proven and measurable results for our customers. Our customers often experience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the volume of traffic to their websites, the volume of inbound leads and the rate of converting leads into customers. Based on our analysis of customer use in 2012 and 2013, our customers experienced, on average, a 5.7x increase in the number of leads that they generated after 12 months of active use of our platform. See “Market, Industry and Other Data.”</w:t>
      </w:r>
    </w:p>
    <w:p>
      <w:pPr>
        <w:spacing w:after="0" w:line="17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Our platform was designed and built to serve a large number of customers of any size and with demanding use cases.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processes billions of data points each week, and we use leading global cloud infrastructure providers and our own automation technology to dynamically allocate capacity to handle processing workloads of all sizes. We have built our platform on modern technologies, including HBase and Hadoop, which we believe are more scalable than traditional database technologies. Our scalability gives us flexibility for future growth and enables us to service a large variety of businesses of different sizes across different industries.</w:t>
      </w:r>
    </w:p>
    <w:p>
      <w:pPr>
        <w:spacing w:after="0" w:line="180"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Extendable and Open Architecture. </w:t>
      </w:r>
      <w:r>
        <w:rPr>
          <w:rFonts w:ascii="Times New Roman" w:cs="Times New Roman" w:eastAsia="Times New Roman" w:hAnsi="Times New Roman"/>
          <w:sz w:val="18"/>
          <w:szCs w:val="18"/>
          <w:color w:val="auto"/>
        </w:rPr>
        <w:t>Our platform features a variety of open APIs that allows easy integration of our platform with other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enable our customers to connect our platform to their other applications, including CRM and ecommerce applications. By connecting third-party applications, our customers can leverage our centralized inbound database to perform additional functions and analysis.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our market leadership position is based on the following key strengths:</w:t>
      </w:r>
    </w:p>
    <w:p>
      <w:pPr>
        <w:spacing w:after="0" w:line="221"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Leading Platform. </w:t>
      </w:r>
      <w:r>
        <w:rPr>
          <w:rFonts w:ascii="Times New Roman" w:cs="Times New Roman" w:eastAsia="Times New Roman" w:hAnsi="Times New Roman"/>
          <w:sz w:val="18"/>
          <w:szCs w:val="18"/>
          <w:color w:val="auto"/>
        </w:rPr>
        <w:t>We have designed and built a world-class, inbound marketing and sales software platform. We believe our customers choose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over others because of its powerful, integrated and easy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use applications. Independent customer reviews and ratings of our platform compared to other applications show that we have high customer satisfaction. As of March 31, 2014 on G2Crowd (an independent business software and services review website), the features and functions of our platform were ranked #1 in customer satisfaction in the following categories: marketing automation, social media management, email marketing, search marketing and web analytics.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Leadership and Strong Brand. </w:t>
      </w:r>
      <w:r>
        <w:rPr>
          <w:rFonts w:ascii="Times New Roman" w:cs="Times New Roman" w:eastAsia="Times New Roman" w:hAnsi="Times New Roman"/>
          <w:sz w:val="18"/>
          <w:szCs w:val="18"/>
          <w:color w:val="auto"/>
        </w:rPr>
        <w:t>We are a recognized thought leader in the cloud-based inbound marketing and sales software industry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leading brand. Our founders, Brian Halligan and Dharmesh Shah, wrote the best-selling marketing book </w:t>
      </w:r>
      <w:r>
        <w:rPr>
          <w:rFonts w:ascii="Times New Roman" w:cs="Times New Roman" w:eastAsia="Times New Roman" w:hAnsi="Times New Roman"/>
          <w:sz w:val="18"/>
          <w:szCs w:val="18"/>
          <w:i w:val="1"/>
          <w:iCs w:val="1"/>
          <w:color w:val="auto"/>
        </w:rPr>
        <w:t>Inbound Marketing: Get Found Using Google, Social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Media and Blogs</w:t>
      </w:r>
      <w:r>
        <w:rPr>
          <w:rFonts w:ascii="Times New Roman" w:cs="Times New Roman" w:eastAsia="Times New Roman" w:hAnsi="Times New Roman"/>
          <w:sz w:val="18"/>
          <w:szCs w:val="18"/>
          <w:color w:val="auto"/>
        </w:rPr>
        <w:t>. More than 55,000 copies have been sold and it has been translated into eight languages. There are more than 80 self-organized HubSpot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groups. We also have over 1.1 million followers and fans among Twitter, Facebook and LinkedIn as of March 31, 2014, including approximately 100,000 members of LinkedIn who belong to our inbound marketers group. Our INBOUND conference is one of the largest inbound industry conference events with attendance increasing from 1,100 in 2011 to over 5,500 registered attendees in 2013. We currently hold the world record for the largest online marketing seminar with 10,899 live participants. We believe that it is inherently hard to replicate the number of websites that link to us, the volume of useful content we have published, our large social media following, the breadth of our search engine rankings and our overall brand strength because these assets cannot be easily purchased or built.</w:t>
      </w:r>
    </w:p>
    <w:p>
      <w:pPr>
        <w:spacing w:after="0" w:line="18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 and Growing Agency Partner Program. </w:t>
      </w:r>
      <w:r>
        <w:rPr>
          <w:rFonts w:ascii="Times New Roman" w:cs="Times New Roman" w:eastAsia="Times New Roman" w:hAnsi="Times New Roman"/>
          <w:sz w:val="18"/>
          <w:szCs w:val="18"/>
          <w:color w:val="auto"/>
        </w:rPr>
        <w:t>More than 1,500 agencies partner with us for the value of our platform to their business including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offer new inbound marketing and sales services to their clients which can grow their revenue per customer, attract new customers and increase the portion of their clients on a retainer relationship. We believe that the wide adoption of our platform in the marketing agency industry is evidence that we are becoming an industry standard. Marketing agency partners and customers referred to us by our marketing agency partners represented approximately 37% of our customers as of March 31, 2014 and 33% of our revenue for the three months ended March 31, 2014. These marketing agency partners help us to promote the vision of the inbound experience, efficiently reach new mid-market businesses at scale and provide our mutual customers with more diverse and higher-touch services.</w:t>
      </w:r>
    </w:p>
    <w:p>
      <w:pPr>
        <w:spacing w:after="0" w:line="18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Mid-Market Focus. </w:t>
      </w:r>
      <w:r>
        <w:rPr>
          <w:rFonts w:ascii="Times New Roman" w:cs="Times New Roman" w:eastAsia="Times New Roman" w:hAnsi="Times New Roman"/>
          <w:sz w:val="18"/>
          <w:szCs w:val="18"/>
          <w:color w:val="auto"/>
        </w:rPr>
        <w:t>We believe we have significant competitive advantages reaching mid-market businesses and efficiently reach this market at 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our proven inbound go-to-market approach and our agency partner channel. In the first quarter of 2014, over 77% of the new leads we generated and approximately 93% of our new customers were from inbound marketing and did not have any advertising costs associated with them. We believe our large inbound marketing footprint and agency partner program provide competitive advantages in reaching mid-market businesses.</w:t>
      </w:r>
    </w:p>
    <w:p>
      <w:pPr>
        <w:spacing w:after="0" w:line="177"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Powerful Network Effects. </w:t>
      </w:r>
      <w:r>
        <w:rPr>
          <w:rFonts w:ascii="Times New Roman" w:cs="Times New Roman" w:eastAsia="Times New Roman" w:hAnsi="Times New Roman"/>
          <w:sz w:val="18"/>
          <w:szCs w:val="18"/>
          <w:color w:val="auto"/>
        </w:rPr>
        <w:t>We have built a large and growing ecosystem around our platform and company. We have built what we believe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engaged audience in our industry, which now comprises more than 2 million people between our blog subscribers, Twitter followers, Facebook fans, LinkedIn connections and our opt-in email list. We have attracted more than 1,500 marketing agency partners worldwide who promote our brand and extend our marketing and sales reach. Thousands of our customers integrate third-party applications with our platform using our built-in connectors and third-party developer partners. We have trained and certified more than 10,000 marketers on inbound marketing. Our annual INBOUND conference attracted more than 5,500 registered attendees in 2013. We believe this ecosystem drives more businesses and professionals to embrace the inbound playbook. As our engaged audience grows, more agencies partner with us, more third-party developers integrate their applications with our platform, and more professionals complete our certification programs, all of which drive more businesses to adopt our platform.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key elements to our growth strategy are:</w:t>
      </w:r>
    </w:p>
    <w:p>
      <w:pPr>
        <w:spacing w:after="0" w:line="22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 Our U.S. Customer Base. </w:t>
      </w:r>
      <w:r>
        <w:rPr>
          <w:rFonts w:ascii="Times New Roman" w:cs="Times New Roman" w:eastAsia="Times New Roman" w:hAnsi="Times New Roman"/>
          <w:sz w:val="18"/>
          <w:szCs w:val="18"/>
          <w:color w:val="auto"/>
        </w:rPr>
        <w:t>The market for our platform is large and underserved. Mid-market businesses are particularly underserved by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point application vendors and often lack sufficient resources to implement complex solutions. Our all-in-one platform allows mid-market businesses to efficiently adopt and execute an effective inbound marketing strategy to help them expand and grow. We will continue to leverage our inbound go-to-market approach and our network of marketing agency partners to keep growing our domestic business.</w:t>
      </w:r>
    </w:p>
    <w:p>
      <w:pPr>
        <w:spacing w:after="0" w:line="1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Revenue from Existing Customers. </w:t>
      </w:r>
      <w:r>
        <w:rPr>
          <w:rFonts w:ascii="Times New Roman" w:cs="Times New Roman" w:eastAsia="Times New Roman" w:hAnsi="Times New Roman"/>
          <w:sz w:val="18"/>
          <w:szCs w:val="18"/>
          <w:color w:val="auto"/>
        </w:rPr>
        <w:t>With approximately 11,000 customers in more than 70 countries spanning many industries, we believe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significant opportunity to increase revenue from our existing customers. We plan to increase revenue from our existing customers by expanding their use of our platform, selling to other parts of their organizations and upselling additional offerings and features. Our scalable pricing model allows us to capture more spend as our customers grow, increase the number of their customers and prospects managed on our platform, and require additional functionality available from our higher price tiers and add-ons, providing us with a substantial opportunity to increase the lifetime value of our customer relationships.</w:t>
      </w:r>
    </w:p>
    <w:p>
      <w:pPr>
        <w:spacing w:after="0" w:line="183"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Keep Expanding Internationally. </w:t>
      </w:r>
      <w:r>
        <w:rPr>
          <w:rFonts w:ascii="Times New Roman" w:cs="Times New Roman" w:eastAsia="Times New Roman" w:hAnsi="Times New Roman"/>
          <w:sz w:val="18"/>
          <w:szCs w:val="18"/>
          <w:color w:val="auto"/>
        </w:rPr>
        <w:t>There is a significant opportunity for our inbound platform outside of the United States. As of March 31,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19% of our customers were located outside of the United States and these customers generated approximately 20% of our total revenue for the three months ended March 31, 2014, but we sell to those foreign customers from both our U.S. and Ireland based operations. We intend to grow our presence in international markets through additional investments in local sales, marketing and professional service capabilities as well as by leveraging our agency partner network. We opened our first international office focused on the European market in January 2013. We already have significant website traffic from regions outside the United States and we believe that markets outside the United States represent a significant growth opportunity.</w:t>
      </w:r>
    </w:p>
    <w:p>
      <w:pPr>
        <w:spacing w:after="0" w:line="18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Innovate and Expand Our Platform. </w:t>
      </w:r>
      <w:r>
        <w:rPr>
          <w:rFonts w:ascii="Times New Roman" w:cs="Times New Roman" w:eastAsia="Times New Roman" w:hAnsi="Times New Roman"/>
          <w:sz w:val="18"/>
          <w:szCs w:val="18"/>
          <w:color w:val="auto"/>
        </w:rPr>
        <w:t>Mid-market businesses are increasingly realizing the value of having an integrated marketing,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service platform. We believe we are well positioned to capitalize on this opportunity by introducing new products and applications to extend the functionality of our platform. For example, in 2013, we launched our Signals product designed to empower sales professionals to benefit from real-time interaction data to engage with their most relevant prospects.</w:t>
      </w:r>
    </w:p>
    <w:p>
      <w:pPr>
        <w:spacing w:after="0" w:line="177"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Pursue Acquisitions. </w:t>
      </w:r>
      <w:r>
        <w:rPr>
          <w:rFonts w:ascii="Times New Roman" w:cs="Times New Roman" w:eastAsia="Times New Roman" w:hAnsi="Times New Roman"/>
          <w:sz w:val="18"/>
          <w:szCs w:val="18"/>
          <w:color w:val="auto"/>
        </w:rPr>
        <w:t>We plan to selectively pursue acquisitions of complementary businesses, technologies and teams that would allow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add new features and functionalities to our platform and accelerate the pace of our innovation.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All-in-one Inbound Platform</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Designed from the ground up to deliver an inbound experience, our software platform enables businesses to attract, engage and delight customers. At the core of our platform is a single inbound database of customer information. This allows a complete view of customer interactions across all of our integrated applications, giving our platform substantial power. This integration makes it possible to personalize web content, social media engagement and email messages across devices, including mobile. The integrated applications on our platform have a common user interface, are accessed through a single login and are based on our inbound database. The following diagram sets forth the principal applications of our platform and how businesses use them in the various parts of the marketing and sales funnel.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499745</wp:posOffset>
            </wp:positionV>
            <wp:extent cx="5085715" cy="3009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8571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Content Optimization System (COS). </w:t>
      </w:r>
      <w:r>
        <w:rPr>
          <w:rFonts w:ascii="Times New Roman" w:cs="Times New Roman" w:eastAsia="Times New Roman" w:hAnsi="Times New Roman"/>
          <w:sz w:val="18"/>
          <w:szCs w:val="18"/>
          <w:color w:val="auto"/>
        </w:rPr>
        <w:t>Our COS applications are part content management system and part personalization engine, enabling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create new and edit existing web content while also personalizing their websites for different visitors and optimizing their websites to convert more visitors into leads and customers. Features include:</w:t>
      </w:r>
    </w:p>
    <w:p>
      <w:pPr>
        <w:spacing w:after="0" w:line="76" w:lineRule="exact"/>
        <w:rPr>
          <w:sz w:val="20"/>
          <w:szCs w:val="20"/>
          <w:color w:val="auto"/>
        </w:rPr>
      </w:pPr>
    </w:p>
    <w:p>
      <w:pPr>
        <w:ind w:left="900" w:right="100" w:hanging="446"/>
        <w:spacing w:after="0" w:line="26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Blogging</w:t>
      </w:r>
      <w:r>
        <w:rPr>
          <w:rFonts w:ascii="Times New Roman" w:cs="Times New Roman" w:eastAsia="Times New Roman" w:hAnsi="Times New Roman"/>
          <w:sz w:val="18"/>
          <w:szCs w:val="18"/>
          <w:color w:val="auto"/>
        </w:rPr>
        <w:t>—Designed for lead generation, our blog includes “get-as-you-type” SEO tips for how to improve articles, built-in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integration to automatically post new articles in social media, mobile optimization that automatically optimizes posts for smartphones and tablets, and integrated analytics that allow marketers to see the performance of each post and their blogging overall.</w:t>
      </w:r>
    </w:p>
    <w:p>
      <w:pPr>
        <w:spacing w:after="0" w:line="76" w:lineRule="exact"/>
        <w:rPr>
          <w:rFonts w:ascii="Times New Roman" w:cs="Times New Roman" w:eastAsia="Times New Roman" w:hAnsi="Times New Roman"/>
          <w:sz w:val="18"/>
          <w:szCs w:val="18"/>
          <w:color w:val="auto"/>
        </w:rPr>
      </w:pPr>
    </w:p>
    <w:p>
      <w:pPr>
        <w:ind w:left="900" w:right="100" w:hanging="446"/>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Website Pages</w:t>
      </w:r>
      <w:r>
        <w:rPr>
          <w:rFonts w:ascii="Times New Roman" w:cs="Times New Roman" w:eastAsia="Times New Roman" w:hAnsi="Times New Roman"/>
          <w:sz w:val="18"/>
          <w:szCs w:val="18"/>
          <w:color w:val="auto"/>
        </w:rPr>
        <w:t>—A flexible system to build modern websites with responsive design, which means they are dynamically optimized for desktops,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laptops, tablets and smartphones without the need for maintaining different website versions for each device type.</w:t>
      </w:r>
    </w:p>
    <w:p>
      <w:pPr>
        <w:spacing w:after="0" w:line="60" w:lineRule="exact"/>
        <w:rPr>
          <w:rFonts w:ascii="Times New Roman" w:cs="Times New Roman" w:eastAsia="Times New Roman" w:hAnsi="Times New Roman"/>
          <w:sz w:val="18"/>
          <w:szCs w:val="18"/>
          <w:color w:val="auto"/>
        </w:rPr>
      </w:pPr>
    </w:p>
    <w:p>
      <w:pPr>
        <w:ind w:left="900" w:right="140" w:hanging="446"/>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Smart Content</w:t>
      </w:r>
      <w:r>
        <w:rPr>
          <w:rFonts w:ascii="Times New Roman" w:cs="Times New Roman" w:eastAsia="Times New Roman" w:hAnsi="Times New Roman"/>
          <w:sz w:val="18"/>
          <w:szCs w:val="18"/>
          <w:color w:val="auto"/>
        </w:rPr>
        <w:t>—Display customized text, images or other content to customers to provide a personalized experience based on any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stored in the inbound database.</w:t>
      </w:r>
    </w:p>
    <w:p>
      <w:pPr>
        <w:spacing w:after="0" w:line="60" w:lineRule="exact"/>
        <w:rPr>
          <w:rFonts w:ascii="Times New Roman" w:cs="Times New Roman" w:eastAsia="Times New Roman" w:hAnsi="Times New Roman"/>
          <w:sz w:val="18"/>
          <w:szCs w:val="18"/>
          <w:color w:val="auto"/>
        </w:rPr>
      </w:pPr>
    </w:p>
    <w:p>
      <w:pPr>
        <w:ind w:left="900" w:right="220" w:hanging="446"/>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Landing Pages and Forms</w:t>
      </w:r>
      <w:r>
        <w:rPr>
          <w:rFonts w:ascii="Times New Roman" w:cs="Times New Roman" w:eastAsia="Times New Roman" w:hAnsi="Times New Roman"/>
          <w:sz w:val="18"/>
          <w:szCs w:val="18"/>
          <w:color w:val="auto"/>
        </w:rPr>
        <w:t>—Easily build lead-capture forms and create landing pages with the ability to test and optimize different designs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conversion rates.</w:t>
      </w:r>
    </w:p>
    <w:p>
      <w:pPr>
        <w:spacing w:after="0" w:line="60" w:lineRule="exact"/>
        <w:rPr>
          <w:rFonts w:ascii="Times New Roman" w:cs="Times New Roman" w:eastAsia="Times New Roman" w:hAnsi="Times New Roman"/>
          <w:sz w:val="18"/>
          <w:szCs w:val="18"/>
          <w:color w:val="auto"/>
        </w:rPr>
      </w:pPr>
    </w:p>
    <w:p>
      <w:pPr>
        <w:ind w:left="900" w:right="460" w:hanging="446"/>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Calls-to-Action</w:t>
      </w:r>
      <w:r>
        <w:rPr>
          <w:rFonts w:ascii="Times New Roman" w:cs="Times New Roman" w:eastAsia="Times New Roman" w:hAnsi="Times New Roman"/>
          <w:sz w:val="18"/>
          <w:szCs w:val="18"/>
          <w:color w:val="auto"/>
        </w:rPr>
        <w:t>—Create buttons and callouts that direct visitors to landing pages, with the ability to optimize click-through rates by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designs and messages.</w:t>
      </w:r>
    </w:p>
    <w:p>
      <w:pPr>
        <w:spacing w:after="0" w:line="15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Search Engine Optimization (SEO). </w:t>
      </w:r>
      <w:r>
        <w:rPr>
          <w:rFonts w:ascii="Times New Roman" w:cs="Times New Roman" w:eastAsia="Times New Roman" w:hAnsi="Times New Roman"/>
          <w:sz w:val="18"/>
          <w:szCs w:val="18"/>
          <w:color w:val="auto"/>
        </w:rPr>
        <w:t>Our SEO applications are tightly integrated into all of the content applications on our platform, making it easy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the right keywords and optimize content to attract more visitors from search engines. Features include:</w:t>
      </w:r>
    </w:p>
    <w:p>
      <w:pPr>
        <w:spacing w:after="0" w:line="60"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Keywords</w:t>
      </w:r>
      <w:r>
        <w:rPr>
          <w:rFonts w:ascii="Times New Roman" w:cs="Times New Roman" w:eastAsia="Times New Roman" w:hAnsi="Times New Roman"/>
          <w:sz w:val="18"/>
          <w:szCs w:val="18"/>
          <w:color w:val="auto"/>
        </w:rPr>
        <w:t>—Identify which search terms are used more frequently and are better opportunities, and track results on each keyword.</w:t>
      </w:r>
    </w:p>
    <w:p>
      <w:pPr>
        <w:spacing w:after="0" w:line="13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Page Performance</w:t>
      </w:r>
      <w:r>
        <w:rPr>
          <w:rFonts w:ascii="Times New Roman" w:cs="Times New Roman" w:eastAsia="Times New Roman" w:hAnsi="Times New Roman"/>
          <w:sz w:val="18"/>
          <w:szCs w:val="18"/>
          <w:color w:val="auto"/>
        </w:rPr>
        <w:t>—Generate automated diagnostic reports about which web pages are not properly optimized, including instructions on what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 and how to fix it.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Social Inbox. </w:t>
      </w:r>
      <w:r>
        <w:rPr>
          <w:rFonts w:ascii="Times New Roman" w:cs="Times New Roman" w:eastAsia="Times New Roman" w:hAnsi="Times New Roman"/>
          <w:sz w:val="18"/>
          <w:szCs w:val="18"/>
          <w:color w:val="auto"/>
        </w:rPr>
        <w:t>Our social media applications allow businesses to monitor, publish and track social media across Facebook, LinkedIn and Twitter,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the personalized information about each contact stored in the inbound database. Features include:</w:t>
      </w:r>
    </w:p>
    <w:p>
      <w:pPr>
        <w:spacing w:after="0" w:line="60" w:lineRule="exact"/>
        <w:rPr>
          <w:sz w:val="20"/>
          <w:szCs w:val="20"/>
          <w:color w:val="auto"/>
        </w:rPr>
      </w:pPr>
    </w:p>
    <w:p>
      <w:pPr>
        <w:jc w:val="both"/>
        <w:ind w:left="900" w:right="400" w:hanging="446"/>
        <w:spacing w:after="0" w:line="26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—Monitor social media messages not just for keywords, but also using segmented lists created based on criteria in the inbound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database such as active sales opportunities or customers who purchased in the last 30 days, and set alerts to be sent when new messages are posted meeting these criteria.</w:t>
      </w:r>
    </w:p>
    <w:p>
      <w:pPr>
        <w:spacing w:after="0" w:line="76" w:lineRule="exact"/>
        <w:rPr>
          <w:rFonts w:ascii="Times New Roman" w:cs="Times New Roman" w:eastAsia="Times New Roman" w:hAnsi="Times New Roman"/>
          <w:sz w:val="18"/>
          <w:szCs w:val="18"/>
          <w:color w:val="auto"/>
        </w:rPr>
      </w:pPr>
    </w:p>
    <w:p>
      <w:pPr>
        <w:ind w:left="900" w:right="100" w:hanging="446"/>
        <w:spacing w:after="0" w:line="28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Publishing</w:t>
      </w:r>
      <w:r>
        <w:rPr>
          <w:rFonts w:ascii="Times New Roman" w:cs="Times New Roman" w:eastAsia="Times New Roman" w:hAnsi="Times New Roman"/>
          <w:sz w:val="18"/>
          <w:szCs w:val="18"/>
          <w:color w:val="auto"/>
        </w:rPr>
        <w:t>—Schedule messages to be posted at any time in multiple Twitter accounts, as well as personal pages, business pages and groups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LinkedIn and Facebook.</w:t>
      </w:r>
    </w:p>
    <w:p>
      <w:pPr>
        <w:spacing w:after="0" w:line="60" w:lineRule="exact"/>
        <w:rPr>
          <w:rFonts w:ascii="Times New Roman" w:cs="Times New Roman" w:eastAsia="Times New Roman" w:hAnsi="Times New Roman"/>
          <w:sz w:val="18"/>
          <w:szCs w:val="18"/>
          <w:color w:val="auto"/>
        </w:rPr>
      </w:pPr>
    </w:p>
    <w:p>
      <w:pPr>
        <w:ind w:left="900" w:right="260" w:hanging="446"/>
        <w:spacing w:after="0" w:line="28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Analysis</w:t>
      </w:r>
      <w:r>
        <w:rPr>
          <w:rFonts w:ascii="Times New Roman" w:cs="Times New Roman" w:eastAsia="Times New Roman" w:hAnsi="Times New Roman"/>
          <w:sz w:val="18"/>
          <w:szCs w:val="18"/>
          <w:color w:val="auto"/>
        </w:rPr>
        <w:t>—Measure which posts get the most engagement including the number of website visits, new contacts and new customers generated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each post.</w:t>
      </w:r>
    </w:p>
    <w:p>
      <w:pPr>
        <w:spacing w:after="0" w:line="155" w:lineRule="exact"/>
        <w:rPr>
          <w:sz w:val="20"/>
          <w:szCs w:val="20"/>
          <w:color w:val="auto"/>
        </w:rPr>
      </w:pPr>
    </w:p>
    <w:p>
      <w:pPr>
        <w:ind w:right="7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Automation and Email. </w:t>
      </w:r>
      <w:r>
        <w:rPr>
          <w:rFonts w:ascii="Times New Roman" w:cs="Times New Roman" w:eastAsia="Times New Roman" w:hAnsi="Times New Roman"/>
          <w:sz w:val="18"/>
          <w:szCs w:val="18"/>
          <w:color w:val="auto"/>
        </w:rPr>
        <w:t>Businesses can execute, manage and analyze sophisticated email marketing campaigns and segment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personalize emails using sophisticated triggers such as viewing a video, completing a form, or interacting via social media. Features include:</w:t>
      </w:r>
    </w:p>
    <w:p>
      <w:pPr>
        <w:spacing w:after="0" w:line="60" w:lineRule="exact"/>
        <w:rPr>
          <w:sz w:val="20"/>
          <w:szCs w:val="20"/>
          <w:color w:val="auto"/>
        </w:rPr>
      </w:pPr>
    </w:p>
    <w:p>
      <w:pPr>
        <w:ind w:left="900" w:right="540" w:hanging="446"/>
        <w:spacing w:after="0" w:line="28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Advanced Segmentation</w:t>
      </w:r>
      <w:r>
        <w:rPr>
          <w:rFonts w:ascii="Times New Roman" w:cs="Times New Roman" w:eastAsia="Times New Roman" w:hAnsi="Times New Roman"/>
          <w:sz w:val="18"/>
          <w:szCs w:val="18"/>
          <w:color w:val="auto"/>
        </w:rPr>
        <w:t>—Use all the information in the inbound database to create highly segmented groups for more personalized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email marketing.</w:t>
      </w:r>
    </w:p>
    <w:p>
      <w:pPr>
        <w:spacing w:after="0" w:line="60" w:lineRule="exact"/>
        <w:rPr>
          <w:rFonts w:ascii="Times New Roman" w:cs="Times New Roman" w:eastAsia="Times New Roman" w:hAnsi="Times New Roman"/>
          <w:sz w:val="18"/>
          <w:szCs w:val="18"/>
          <w:color w:val="auto"/>
        </w:rPr>
      </w:pPr>
    </w:p>
    <w:p>
      <w:pPr>
        <w:ind w:left="900" w:right="460" w:hanging="446"/>
        <w:spacing w:after="0" w:line="28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Personalization</w:t>
      </w:r>
      <w:r>
        <w:rPr>
          <w:rFonts w:ascii="Times New Roman" w:cs="Times New Roman" w:eastAsia="Times New Roman" w:hAnsi="Times New Roman"/>
          <w:sz w:val="18"/>
          <w:szCs w:val="18"/>
          <w:color w:val="auto"/>
        </w:rPr>
        <w:t>—Dynamically personalize the content of emails including the sender, images and text based on the information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in the inbound database.</w:t>
      </w:r>
    </w:p>
    <w:p>
      <w:pPr>
        <w:spacing w:after="0" w:line="60" w:lineRule="exact"/>
        <w:rPr>
          <w:rFonts w:ascii="Times New Roman" w:cs="Times New Roman" w:eastAsia="Times New Roman" w:hAnsi="Times New Roman"/>
          <w:sz w:val="18"/>
          <w:szCs w:val="18"/>
          <w:color w:val="auto"/>
        </w:rPr>
      </w:pPr>
    </w:p>
    <w:p>
      <w:pPr>
        <w:ind w:left="900" w:right="440" w:hanging="446"/>
        <w:spacing w:after="0" w:line="28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Sophisticated Campaign Workflows</w:t>
      </w:r>
      <w:r>
        <w:rPr>
          <w:rFonts w:ascii="Times New Roman" w:cs="Times New Roman" w:eastAsia="Times New Roman" w:hAnsi="Times New Roman"/>
          <w:sz w:val="18"/>
          <w:szCs w:val="18"/>
          <w:color w:val="auto"/>
        </w:rPr>
        <w:t>—Create sophisticated marketing automation workflows that continue to automatically engage leads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time delays of various lengths and multiple follow up emails.</w:t>
      </w:r>
    </w:p>
    <w:p>
      <w:pPr>
        <w:spacing w:after="0" w:line="60" w:lineRule="exact"/>
        <w:rPr>
          <w:rFonts w:ascii="Times New Roman" w:cs="Times New Roman" w:eastAsia="Times New Roman" w:hAnsi="Times New Roman"/>
          <w:sz w:val="18"/>
          <w:szCs w:val="18"/>
          <w:color w:val="auto"/>
        </w:rPr>
      </w:pPr>
    </w:p>
    <w:p>
      <w:pPr>
        <w:ind w:left="900" w:right="120" w:hanging="446"/>
        <w:spacing w:after="0" w:line="26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Lead Scoring</w:t>
      </w:r>
      <w:r>
        <w:rPr>
          <w:rFonts w:ascii="Times New Roman" w:cs="Times New Roman" w:eastAsia="Times New Roman" w:hAnsi="Times New Roman"/>
          <w:sz w:val="18"/>
          <w:szCs w:val="18"/>
          <w:color w:val="auto"/>
        </w:rPr>
        <w:t>—Create a custom lead score based on the behavior and attributes of a potential customer, such as visiting a specific web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watching certain videos, opening certain emails, having a certain job title, or other custom data in the inbound database. Define which leads are sent to the CRM system for sales engagement based on these criteria.</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Analysis—</w:t>
      </w:r>
      <w:r>
        <w:rPr>
          <w:rFonts w:ascii="Times New Roman" w:cs="Times New Roman" w:eastAsia="Times New Roman" w:hAnsi="Times New Roman"/>
          <w:sz w:val="18"/>
          <w:szCs w:val="18"/>
          <w:color w:val="auto"/>
        </w:rPr>
        <w:t>Measure email open rates, click-through rates and other email marketing metrics.</w:t>
      </w:r>
    </w:p>
    <w:p>
      <w:pPr>
        <w:spacing w:after="0" w:line="225" w:lineRule="exact"/>
        <w:rPr>
          <w:sz w:val="20"/>
          <w:szCs w:val="20"/>
          <w:color w:val="auto"/>
        </w:rPr>
      </w:pPr>
    </w:p>
    <w:p>
      <w:pPr>
        <w:ind w:right="3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Signals.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Signals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enhances the productivity of sales representatives. Businesses can track the signals being sent by potential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email engagement and website visits, enabling sales to focus on prospects who have demonstrated interest. Features include:</w:t>
      </w:r>
    </w:p>
    <w:p>
      <w:pPr>
        <w:spacing w:after="0" w:line="60" w:lineRule="exact"/>
        <w:rPr>
          <w:sz w:val="20"/>
          <w:szCs w:val="20"/>
          <w:color w:val="auto"/>
        </w:rPr>
      </w:pPr>
    </w:p>
    <w:p>
      <w:pPr>
        <w:ind w:left="900" w:right="100" w:hanging="446"/>
        <w:spacing w:after="0" w:line="28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Email Engagement Notifications</w:t>
      </w:r>
      <w:r>
        <w:rPr>
          <w:rFonts w:ascii="Times New Roman" w:cs="Times New Roman" w:eastAsia="Times New Roman" w:hAnsi="Times New Roman"/>
          <w:sz w:val="18"/>
          <w:szCs w:val="18"/>
          <w:color w:val="auto"/>
        </w:rPr>
        <w:t>—Get real-time alerts when email messages are opened or clicked by potential customers to know when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engaged with messages.</w:t>
      </w:r>
    </w:p>
    <w:p>
      <w:pPr>
        <w:spacing w:after="0" w:line="6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Lead and Website Visit Alerts—</w:t>
      </w:r>
      <w:r>
        <w:rPr>
          <w:rFonts w:ascii="Times New Roman" w:cs="Times New Roman" w:eastAsia="Times New Roman" w:hAnsi="Times New Roman"/>
          <w:sz w:val="18"/>
          <w:szCs w:val="18"/>
          <w:color w:val="auto"/>
        </w:rPr>
        <w:t>Receive real time notifications of new leads assigned to a salesperson as well as notifications about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where an existing lead visits a business’s website to help salespeople more easily engage with potential customers.</w:t>
      </w:r>
    </w:p>
    <w:p>
      <w:pPr>
        <w:spacing w:after="0" w:line="60" w:lineRule="exact"/>
        <w:rPr>
          <w:rFonts w:ascii="Times New Roman" w:cs="Times New Roman" w:eastAsia="Times New Roman" w:hAnsi="Times New Roman"/>
          <w:sz w:val="18"/>
          <w:szCs w:val="18"/>
          <w:color w:val="auto"/>
        </w:rPr>
      </w:pPr>
    </w:p>
    <w:p>
      <w:pPr>
        <w:ind w:left="900" w:right="120" w:hanging="446"/>
        <w:spacing w:after="0" w:line="26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Email Templates and CRM Tracking</w:t>
      </w:r>
      <w:r>
        <w:rPr>
          <w:rFonts w:ascii="Times New Roman" w:cs="Times New Roman" w:eastAsia="Times New Roman" w:hAnsi="Times New Roman"/>
          <w:sz w:val="18"/>
          <w:szCs w:val="18"/>
          <w:color w:val="auto"/>
        </w:rPr>
        <w:t>—Use the email templates stored in salesforce.com directly in Outlook, Gmail or Mac Mail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the need for copying and pasting email addresses and templates from window to window. Track the emails sent from Outlook, Gmail and Mac Mail in most CRM systems.</w:t>
      </w:r>
    </w:p>
    <w:p>
      <w:pPr>
        <w:spacing w:after="0" w:line="171" w:lineRule="exact"/>
        <w:rPr>
          <w:sz w:val="20"/>
          <w:szCs w:val="20"/>
          <w:color w:val="auto"/>
        </w:rPr>
      </w:pPr>
    </w:p>
    <w:p>
      <w:pPr>
        <w:ind w:right="5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CRM Sync. </w:t>
      </w:r>
      <w:r>
        <w:rPr>
          <w:rFonts w:ascii="Times New Roman" w:cs="Times New Roman" w:eastAsia="Times New Roman" w:hAnsi="Times New Roman"/>
          <w:sz w:val="18"/>
          <w:szCs w:val="18"/>
          <w:color w:val="auto"/>
        </w:rPr>
        <w:t>Businesses can synchronize information from our inbound database with their CRM application, enabling seamless transition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to sales. Our native and third-party CRM integration features include:</w:t>
      </w:r>
    </w:p>
    <w:p>
      <w:pPr>
        <w:spacing w:after="0" w:line="60" w:lineRule="exact"/>
        <w:rPr>
          <w:sz w:val="20"/>
          <w:szCs w:val="20"/>
          <w:color w:val="auto"/>
        </w:rPr>
      </w:pPr>
    </w:p>
    <w:p>
      <w:pPr>
        <w:ind w:left="900" w:right="120" w:hanging="446"/>
        <w:spacing w:after="0" w:line="28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Bi-directional Syncing</w:t>
      </w:r>
      <w:r>
        <w:rPr>
          <w:rFonts w:ascii="Times New Roman" w:cs="Times New Roman" w:eastAsia="Times New Roman" w:hAnsi="Times New Roman"/>
          <w:sz w:val="18"/>
          <w:szCs w:val="18"/>
          <w:color w:val="auto"/>
        </w:rPr>
        <w:t>—Changes in HubSpot and the CRM are automatically updated in the other system regardless of where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originated.</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240" w:top="455" w:right="3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580" w:hanging="446"/>
        <w:spacing w:after="0" w:line="28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Inclusion Lists</w:t>
      </w:r>
      <w:r>
        <w:rPr>
          <w:rFonts w:ascii="Times New Roman" w:cs="Times New Roman" w:eastAsia="Times New Roman" w:hAnsi="Times New Roman"/>
          <w:sz w:val="18"/>
          <w:szCs w:val="18"/>
          <w:color w:val="auto"/>
        </w:rPr>
        <w:t>—Define which leads automatically sync to the CRM by setting conditions based on lead score or any other criteria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inbound database.</w:t>
      </w:r>
    </w:p>
    <w:p>
      <w:pPr>
        <w:spacing w:after="0" w:line="60" w:lineRule="exact"/>
        <w:rPr>
          <w:rFonts w:ascii="Times New Roman" w:cs="Times New Roman" w:eastAsia="Times New Roman" w:hAnsi="Times New Roman"/>
          <w:sz w:val="18"/>
          <w:szCs w:val="18"/>
          <w:color w:val="auto"/>
        </w:rPr>
      </w:pPr>
    </w:p>
    <w:p>
      <w:pPr>
        <w:ind w:left="900" w:right="400" w:hanging="446"/>
        <w:spacing w:after="0" w:line="28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Lead Intelligence</w:t>
      </w:r>
      <w:r>
        <w:rPr>
          <w:rFonts w:ascii="Times New Roman" w:cs="Times New Roman" w:eastAsia="Times New Roman" w:hAnsi="Times New Roman"/>
          <w:sz w:val="18"/>
          <w:szCs w:val="18"/>
          <w:color w:val="auto"/>
        </w:rPr>
        <w:t>—Information from the contact timeline such as recent website visit or social media engagement is displayed in the CRM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it easy for sales to leverage the data in the inbound database.</w:t>
      </w:r>
    </w:p>
    <w:p>
      <w:pPr>
        <w:spacing w:after="0" w:line="6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Closed Loop Reporting</w:t>
      </w:r>
      <w:r>
        <w:rPr>
          <w:rFonts w:ascii="Times New Roman" w:cs="Times New Roman" w:eastAsia="Times New Roman" w:hAnsi="Times New Roman"/>
          <w:sz w:val="18"/>
          <w:szCs w:val="18"/>
          <w:color w:val="auto"/>
        </w:rPr>
        <w:t>—Track which marketing activity was the original source of a new customer and measure in aggregate which campaigns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driving more or less sales.</w:t>
      </w:r>
    </w:p>
    <w:p>
      <w:pPr>
        <w:spacing w:after="0" w:line="15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Reporting and Analytics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can use our reporting and analytics functionality built into our platform to measure which activities are attracting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new leads and customers, develop a deeper understanding of their customers and measure the effectiveness of campaigns across the customer lifecycle.</w:t>
      </w:r>
    </w:p>
    <w:p>
      <w:pPr>
        <w:spacing w:after="0" w:line="76" w:lineRule="exact"/>
        <w:rPr>
          <w:sz w:val="20"/>
          <w:szCs w:val="20"/>
          <w:color w:val="auto"/>
        </w:rPr>
      </w:pPr>
    </w:p>
    <w:p>
      <w:pPr>
        <w:ind w:left="900" w:right="940" w:hanging="446"/>
        <w:spacing w:after="0" w:line="28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Sources</w:t>
      </w:r>
      <w:r>
        <w:rPr>
          <w:rFonts w:ascii="Times New Roman" w:cs="Times New Roman" w:eastAsia="Times New Roman" w:hAnsi="Times New Roman"/>
          <w:sz w:val="18"/>
          <w:szCs w:val="18"/>
          <w:color w:val="auto"/>
        </w:rPr>
        <w:t>—Track website visitors, new leads and new customers according to how they first found a business, helping to measure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different marketing channels.</w:t>
      </w:r>
    </w:p>
    <w:p>
      <w:pPr>
        <w:spacing w:after="0" w:line="60" w:lineRule="exact"/>
        <w:rPr>
          <w:rFonts w:ascii="Times New Roman" w:cs="Times New Roman" w:eastAsia="Times New Roman" w:hAnsi="Times New Roman"/>
          <w:sz w:val="18"/>
          <w:szCs w:val="18"/>
          <w:color w:val="auto"/>
        </w:rPr>
      </w:pPr>
    </w:p>
    <w:p>
      <w:pPr>
        <w:ind w:left="900" w:right="260" w:hanging="446"/>
        <w:spacing w:after="0" w:line="28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Competitors</w:t>
      </w:r>
      <w:r>
        <w:rPr>
          <w:rFonts w:ascii="Times New Roman" w:cs="Times New Roman" w:eastAsia="Times New Roman" w:hAnsi="Times New Roman"/>
          <w:sz w:val="18"/>
          <w:szCs w:val="18"/>
          <w:color w:val="auto"/>
        </w:rPr>
        <w:t>—Track key inbound metrics against competition including the number of inbound links, social media followers and the relative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traffic.</w:t>
      </w:r>
    </w:p>
    <w:p>
      <w:pPr>
        <w:spacing w:after="0" w:line="60" w:lineRule="exact"/>
        <w:rPr>
          <w:rFonts w:ascii="Times New Roman" w:cs="Times New Roman" w:eastAsia="Times New Roman" w:hAnsi="Times New Roman"/>
          <w:sz w:val="18"/>
          <w:szCs w:val="18"/>
          <w:color w:val="auto"/>
        </w:rPr>
      </w:pPr>
    </w:p>
    <w:p>
      <w:pPr>
        <w:ind w:left="900" w:right="20" w:hanging="446"/>
        <w:spacing w:after="0" w:line="28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Campaigns</w:t>
      </w:r>
      <w:r>
        <w:rPr>
          <w:rFonts w:ascii="Times New Roman" w:cs="Times New Roman" w:eastAsia="Times New Roman" w:hAnsi="Times New Roman"/>
          <w:sz w:val="18"/>
          <w:szCs w:val="18"/>
          <w:color w:val="auto"/>
        </w:rPr>
        <w:t>—Create collections of different marketing and sales assets like blog posts, emails, landing pages and keywords and track them all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place to measure the impact of a specific marketing and sales campaign.</w:t>
      </w:r>
    </w:p>
    <w:p>
      <w:pPr>
        <w:spacing w:after="0" w:line="6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—Track and analyze a variety of custom events such as video views or custom webpage interactions to understand the effect those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on lead generation and sales.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Packaging</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In 2012, we began pricing and packaging our products based on product plans, number of contacts and add-ons. We sell three product plans, each of which includes key functionality of our core platform but also includes different applications to meet the needs of the various businesses we serve.</w:t>
      </w:r>
    </w:p>
    <w:p>
      <w:pPr>
        <w:spacing w:after="0" w:line="158"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HubSpot Basic </w:t>
      </w:r>
      <w:r>
        <w:rPr>
          <w:rFonts w:ascii="Times New Roman" w:cs="Times New Roman" w:eastAsia="Times New Roman" w:hAnsi="Times New Roman"/>
          <w:sz w:val="18"/>
          <w:szCs w:val="18"/>
          <w:color w:val="auto"/>
        </w:rPr>
        <w:t>is our entry level plan starting at $2,400 per year. This plan includes our platform with applications such as blogging, landing pages,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Inbox, email marketing, and analytics and reporting.</w:t>
      </w:r>
    </w:p>
    <w:p>
      <w:pPr>
        <w:spacing w:after="0" w:line="155"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HubSpot Pro </w:t>
      </w:r>
      <w:r>
        <w:rPr>
          <w:rFonts w:ascii="Times New Roman" w:cs="Times New Roman" w:eastAsia="Times New Roman" w:hAnsi="Times New Roman"/>
          <w:sz w:val="18"/>
          <w:szCs w:val="18"/>
          <w:color w:val="auto"/>
        </w:rPr>
        <w:t>is our plan for professional marketers starting at $9,600 per year. This plan includes the platform with all the applications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HubSpot Basic plus more advanced applications such as CRM integration, marketing automation and smart content.</w:t>
      </w:r>
    </w:p>
    <w:p>
      <w:pPr>
        <w:spacing w:after="0" w:line="155" w:lineRule="exact"/>
        <w:rPr>
          <w:sz w:val="20"/>
          <w:szCs w:val="20"/>
          <w:color w:val="auto"/>
        </w:rPr>
      </w:pPr>
    </w:p>
    <w:p>
      <w:pPr>
        <w:ind w:right="3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HubSpot Enterprise </w:t>
      </w:r>
      <w:r>
        <w:rPr>
          <w:rFonts w:ascii="Times New Roman" w:cs="Times New Roman" w:eastAsia="Times New Roman" w:hAnsi="Times New Roman"/>
          <w:sz w:val="18"/>
          <w:szCs w:val="18"/>
          <w:color w:val="auto"/>
        </w:rPr>
        <w:t>is an advanced plan for marketing teams starting at $28,800 per year. This plan includes our platform with all the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HubSpot Pro, plus more sophisticated applications such as A/B testing and optimization, tracking custom events and advanced reporting capabilities.</w:t>
      </w:r>
    </w:p>
    <w:p>
      <w:pPr>
        <w:spacing w:after="0" w:line="175"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Pricing for all plans is on a subscription basis and customers pay additional fees above the starting prices based on how many contacts will be stored and tracked in the inbound database. We generate additional revenue based on the purchase of additional subscriptions and applications and the number of account users, subdomains and website visits.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Ons. </w:t>
      </w:r>
      <w:r>
        <w:rPr>
          <w:rFonts w:ascii="Times New Roman" w:cs="Times New Roman" w:eastAsia="Times New Roman" w:hAnsi="Times New Roman"/>
          <w:sz w:val="18"/>
          <w:szCs w:val="18"/>
          <w:color w:val="auto"/>
        </w:rPr>
        <w:t>We also sell applications that are not included in any of our three plans on an add-on basis.</w:t>
      </w:r>
    </w:p>
    <w:p>
      <w:pPr>
        <w:spacing w:after="0" w:line="131" w:lineRule="exact"/>
        <w:rPr>
          <w:sz w:val="20"/>
          <w:szCs w:val="20"/>
          <w:color w:val="auto"/>
        </w:rPr>
      </w:pPr>
    </w:p>
    <w:p>
      <w:pPr>
        <w:ind w:left="900" w:right="340" w:hanging="446"/>
        <w:spacing w:after="0" w:line="28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Sites </w:t>
      </w:r>
      <w:r>
        <w:rPr>
          <w:rFonts w:ascii="Times New Roman" w:cs="Times New Roman" w:eastAsia="Times New Roman" w:hAnsi="Times New Roman"/>
          <w:sz w:val="18"/>
          <w:szCs w:val="18"/>
          <w:color w:val="auto"/>
        </w:rPr>
        <w:t>allows a business to build, edit and manage an entire website on our platform. Sites has a per-user fee in addition to the fee paid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inbound platform, which is required to use Sites.</w:t>
      </w:r>
    </w:p>
    <w:p>
      <w:pPr>
        <w:spacing w:after="0" w:line="60" w:lineRule="exact"/>
        <w:rPr>
          <w:rFonts w:ascii="Times New Roman" w:cs="Times New Roman" w:eastAsia="Times New Roman" w:hAnsi="Times New Roman"/>
          <w:sz w:val="18"/>
          <w:szCs w:val="18"/>
          <w:color w:val="auto"/>
        </w:rPr>
      </w:pPr>
    </w:p>
    <w:p>
      <w:pPr>
        <w:ind w:left="900" w:right="140" w:hanging="446"/>
        <w:spacing w:after="0" w:line="317"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Signals </w:t>
      </w:r>
      <w:r>
        <w:rPr>
          <w:rFonts w:ascii="Times New Roman" w:cs="Times New Roman" w:eastAsia="Times New Roman" w:hAnsi="Times New Roman"/>
          <w:sz w:val="17"/>
          <w:szCs w:val="17"/>
          <w:color w:val="auto"/>
        </w:rPr>
        <w:t>notifies salespeople of the activity of their most highly engaged potential customers. The Personal version is free and includes a limited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notifications and features, while the Team version has a per-user fee and includes unlimited notifications and all available features.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complement our product offerings with professional services and support. The majority of our services and support is offered over the phone and via web meeting technology rather than in-person, which is a more efficient business model for us and more cost-effective for our customers.</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Consulting Services. </w:t>
      </w:r>
      <w:r>
        <w:rPr>
          <w:rFonts w:ascii="Times New Roman" w:cs="Times New Roman" w:eastAsia="Times New Roman" w:hAnsi="Times New Roman"/>
          <w:sz w:val="18"/>
          <w:szCs w:val="18"/>
          <w:color w:val="auto"/>
        </w:rPr>
        <w:t>We offer consulting services to educate and train customers on how to leverage our software platform and inbound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to transform how their business attracts, engages and delights customers. Depending on which product plan and services a customer buys, it either receives group training and education in online classes or one-on-one training and advice from one of our consultants by phone and web meeting. Our consulting services are also available to customers who need additional assistance on a one-time or ongoing basis for an additional fee.</w:t>
      </w:r>
    </w:p>
    <w:p>
      <w:pPr>
        <w:spacing w:after="0" w:line="17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w:t>
      </w:r>
      <w:r>
        <w:rPr>
          <w:rFonts w:ascii="Times New Roman" w:cs="Times New Roman" w:eastAsia="Times New Roman" w:hAnsi="Times New Roman"/>
          <w:sz w:val="18"/>
          <w:szCs w:val="18"/>
          <w:color w:val="auto"/>
        </w:rPr>
        <w:t>In addition to assistance provided by our online articles and customer discussion forums, we offer phone and email-based support staffed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United States and Ireland, which is included in the cost of a subscription.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platform and recommend it to their colleagues.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240" w:top="455" w:right="3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approximately 11,000 customers in more than 70 countries, representing many industries. No single customer represented more than 1% of our revenue in 2011, 2012, and 2013 or the three months ended March 31, 2013 and 2014. The following sets forth a list of representative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208915</wp:posOffset>
            </wp:positionV>
            <wp:extent cx="5188585" cy="5213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8585"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By using our platform to deliver an inbound experience, many customers benefit from substantial increases in web traffic, leads and new customers, leading to a significant return on investment. The case studies below illustrate the results our customers have achieved by using our platform.</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240" w:top="455" w:right="51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ShoreTel</w:t>
      </w:r>
    </w:p>
    <w:p>
      <w:pPr>
        <w:spacing w:after="0" w:line="117" w:lineRule="exact"/>
        <w:rPr>
          <w:sz w:val="20"/>
          <w:szCs w:val="20"/>
          <w:color w:val="auto"/>
        </w:rPr>
      </w:pPr>
    </w:p>
    <w:p>
      <w:pPr>
        <w:ind w:right="3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Situation</w:t>
      </w:r>
      <w:r>
        <w:rPr>
          <w:rFonts w:ascii="Times New Roman" w:cs="Times New Roman" w:eastAsia="Times New Roman" w:hAnsi="Times New Roman"/>
          <w:sz w:val="18"/>
          <w:szCs w:val="18"/>
          <w:color w:val="auto"/>
        </w:rPr>
        <w:t>: ShoreTel is a leading provider of IP phone systems and unified communications solutions. ShoreTel was frustrated that “last 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tools impeded its ability to execute its marketing strategies. The main application ShoreTel used was an enterprise marketing automation application from one of the leading traditional vendors, which it found to be inflexible, slow and not user-friendly.</w:t>
      </w:r>
    </w:p>
    <w:p>
      <w:pPr>
        <w:spacing w:after="0" w:line="171" w:lineRule="exact"/>
        <w:rPr>
          <w:sz w:val="20"/>
          <w:szCs w:val="20"/>
          <w:color w:val="auto"/>
        </w:rPr>
      </w:pPr>
    </w:p>
    <w:p>
      <w:pPr>
        <w:jc w:val="both"/>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Solution</w:t>
      </w:r>
      <w:r>
        <w:rPr>
          <w:rFonts w:ascii="Times New Roman" w:cs="Times New Roman" w:eastAsia="Times New Roman" w:hAnsi="Times New Roman"/>
          <w:sz w:val="18"/>
          <w:szCs w:val="18"/>
          <w:color w:val="auto"/>
        </w:rPr>
        <w:t>: The ShoreTel team evaluated a variety of leading marketing application vendors with a goal of finding a platform that was both easy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designed to help them offer an inbound experience. ShoreTel chose our platform over competitive marketing applications, because it found our platform to be the most comprehensive and complete, the easiest to use and the only platform designed to embrace an inbound experience.</w:t>
      </w:r>
    </w:p>
    <w:p>
      <w:pPr>
        <w:spacing w:after="0" w:line="171" w:lineRule="exact"/>
        <w:rPr>
          <w:sz w:val="20"/>
          <w:szCs w:val="20"/>
          <w:color w:val="auto"/>
        </w:rPr>
      </w:pPr>
    </w:p>
    <w:p>
      <w:pPr>
        <w:jc w:val="both"/>
        <w:ind w:right="2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ShoreTel quickly saw the value of using our platform. Within the first two months, it was able to iterate and test new marketing automation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that led to a 100% increase in email nurturing response rates. After one year of using our platform, ShoreTel reported the following gains (year-over-year): 60% increase in traffic, 36% increase in leads and 110% increase in qualified leads.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Leading Global Scientific Products and Services Provider</w:t>
      </w:r>
    </w:p>
    <w:p>
      <w:pPr>
        <w:spacing w:after="0" w:line="117"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Situation</w:t>
      </w:r>
      <w:r>
        <w:rPr>
          <w:rFonts w:ascii="Times New Roman" w:cs="Times New Roman" w:eastAsia="Times New Roman" w:hAnsi="Times New Roman"/>
          <w:sz w:val="18"/>
          <w:szCs w:val="18"/>
          <w:color w:val="auto"/>
        </w:rPr>
        <w:t>: Our customer helps its customers solve complex analytical challenges, improve patient diagnostics and increase laboratory productivity.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customer discovered that new customers spend a lot of time educating themselves before purchasing, and many of them had already made the majority of their purchasing decision before they contacted this customer through its website. A division of this customer was looking to use an inbound approach to attract more customers who were doing their own research and controlling what communication they received. This customer found multiple point applications it could use for SEO, social media and blogging, but was looking for an easier and more complete solution.</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Solution</w:t>
      </w:r>
      <w:r>
        <w:rPr>
          <w:rFonts w:ascii="Times New Roman" w:cs="Times New Roman" w:eastAsia="Times New Roman" w:hAnsi="Times New Roman"/>
          <w:sz w:val="18"/>
          <w:szCs w:val="18"/>
          <w:color w:val="auto"/>
        </w:rPr>
        <w:t>: A division of this customer used our platform to take advantage of the power of inbound marketing. Using our platform, this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created search engine optimized blog posts featuring the keywords that its prospects were using in searches as part of their research. Moreover, by being able to track blog analytics in our platform, this customer was able to measure the effectiveness of its blog in attracting new visitors and generating new leads. Using our social media application, this customer discovered that Twitter and LinkedIn were the two channels its customers visited most often, and decided to further increase its usage of these channels.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Within eight months of using our platform, this customer reported a 182% increase in website traffic and grew its Twitter following by 154%.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full year of using our platform, this customer attributed 30% of its sales-ready leads to its website, which accounted for few sales previously.</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AmeriFirst Home Mortgage</w:t>
      </w:r>
    </w:p>
    <w:p>
      <w:pPr>
        <w:spacing w:after="0" w:line="11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Situation</w:t>
      </w:r>
      <w:r>
        <w:rPr>
          <w:rFonts w:ascii="Times New Roman" w:cs="Times New Roman" w:eastAsia="Times New Roman" w:hAnsi="Times New Roman"/>
          <w:sz w:val="18"/>
          <w:szCs w:val="18"/>
          <w:color w:val="auto"/>
        </w:rPr>
        <w:t>: AmeriFirst Home Mortgage is a community mortgage banker specializing in lending to first-time home buyers. In business more than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AmeriFirst’s main challenge was taking the person to person business tactics it had always done and adapting them for the Internet era. AmeriFirst’s website served as an “online brochure” for more than a decade, but was not an effective channel to drive more business, and AmeriFirst struggled with using multiple point applications for its marketing and sales. AmeriFirst wanted to transform its web presence into a more efficient channel for growing its business and drive better ROI.</w:t>
      </w:r>
    </w:p>
    <w:p>
      <w:pPr>
        <w:spacing w:after="0" w:line="18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Solution</w:t>
      </w:r>
      <w:r>
        <w:rPr>
          <w:rFonts w:ascii="Times New Roman" w:cs="Times New Roman" w:eastAsia="Times New Roman" w:hAnsi="Times New Roman"/>
          <w:sz w:val="18"/>
          <w:szCs w:val="18"/>
          <w:color w:val="auto"/>
        </w:rPr>
        <w:t>: AmeriFirst moved from a variety of point applications to our platform and implemented an inbound experience throughout its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functions. AmeriFirst uses our platform for blogging, SEO, social media, marketing automation and personalized content to attract more web visitors, engage its leads and provide more qualified sales opportunities to its sales team. AmeriFirst cut spending on traditional tactics like direct mail and phonebook advertising, and instead used our platform to focus on inbound marketing and sales that led to a better experience for AmeriFirst’s customers and better ROI for its business.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After six months of using our platform, AmeriFirst reported that its monthly website traffic increased by 120% and monthly leads coming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its website grew more than 20-fold. After one year using our platform, AmeriFirst reported that its monthly web traffic grew 380% and leads grew by a factor of more than 51. After two years using our platform, AmeriFirst reported more than a 16-fold increase in monthly website traffic rates and 90 times as many leads coming from its website as compared to before. AmeriFirst attributed 147 new customers in the first year and 266 customers in the second year to its inbound marketing activities powered by our platform.</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Breed Marketing</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Situation</w:t>
      </w:r>
      <w:r>
        <w:rPr>
          <w:rFonts w:ascii="Times New Roman" w:cs="Times New Roman" w:eastAsia="Times New Roman" w:hAnsi="Times New Roman"/>
          <w:sz w:val="18"/>
          <w:szCs w:val="18"/>
          <w:color w:val="auto"/>
        </w:rPr>
        <w:t>: New Breed Marketing was a traditional marketing agency specializing in branding and website design, though it would take on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projects that came its way. New Breed lacked clear specialization, and the difficulty in proving long-term ROI to its clients left New Breed juggling numerous short-term projects rather than getting the long-term, retainer-based clients it desired. New Breed needed to transform its model to focus on longer-term client relationships. New Breed wanted a platform that would manage its own marketing as well as the marketing it did for clients all in one place, and a way to offer inbound marketing and sales services on a retainer basis to its clients.</w:t>
      </w:r>
    </w:p>
    <w:p>
      <w:pPr>
        <w:spacing w:after="0" w:line="18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Solution</w:t>
      </w:r>
      <w:r>
        <w:rPr>
          <w:rFonts w:ascii="Times New Roman" w:cs="Times New Roman" w:eastAsia="Times New Roman" w:hAnsi="Times New Roman"/>
          <w:sz w:val="18"/>
          <w:szCs w:val="18"/>
          <w:color w:val="auto"/>
        </w:rPr>
        <w:t>: New Breed used our platform to manage a client’s entire marketing strategy with all of the applications and reporting available in one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embracing an inbound experience and offering a new set of inbound marketing and sales services, New Breed was better positioned to be a long-term, strategic partner for its clients, increasing the amount of retainer business and attracting new clients as well, both of which improved cash flow and profitability. With our platform, New Breed could better prove the ROI of a client’s investment in its agency, shifting New Breed’s status from tactical vendor to strategic partner.</w:t>
      </w:r>
    </w:p>
    <w:p>
      <w:pPr>
        <w:spacing w:after="0" w:line="180"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Results: </w:t>
      </w:r>
      <w:r>
        <w:rPr>
          <w:rFonts w:ascii="Times New Roman" w:cs="Times New Roman" w:eastAsia="Times New Roman" w:hAnsi="Times New Roman"/>
          <w:sz w:val="18"/>
          <w:szCs w:val="18"/>
          <w:color w:val="auto"/>
        </w:rPr>
        <w:t>Beyond having the tools to prove ROI and technology that enhances its value proposition, New Breed Marketing has seen its own gains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re-launching on the COS. Within four months of launching its new website built on our content management application and implementing the rest of our platform, New Breed reported a 99% increase in monthly traffic, 61% increase in visitor to lead conversion and 100% increase in lead to customer conversion.</w:t>
      </w:r>
    </w:p>
    <w:p>
      <w:pPr>
        <w:spacing w:after="0" w:line="18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data in the case studies set forth above as to increased visits, leads, qualified leads and conversions following implementation of our platform does not necessarily mean that our platform was the only factor causing such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Approximately 11,000 customers have chosen us as their marketing and sales platform, which we architected and built to be secure, highly distributed and highly scalable. Since our founding, we have embraced rapid, iterative product development lifecycles, cloud automation and open-source technologies, including big data platforms, to power marketing and sales programs and provide insights not previously possible or available.</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platform is a multi-tenant, single code-based, globally available software-as-a-service delivered through web browsers or mobile applications. Our commitment to a highly available, reliable and scalable platform for businesses of all sizes is accomplished through the use of these technologies.</w:t>
      </w:r>
    </w:p>
    <w:p>
      <w:pPr>
        <w:spacing w:after="0" w:line="15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Modern Database Architecture. </w:t>
      </w:r>
      <w:r>
        <w:rPr>
          <w:rFonts w:ascii="Times New Roman" w:cs="Times New Roman" w:eastAsia="Times New Roman" w:hAnsi="Times New Roman"/>
          <w:sz w:val="18"/>
          <w:szCs w:val="18"/>
          <w:color w:val="auto"/>
        </w:rPr>
        <w:t>We process billions of data points weekly across various channels, including social media, email, SEO and website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visits, and continue to drive nearly real-time analytics across these channels. This is possible because we built our database from the ground up using distributed big data technologies such as HBase and Hadoop to both process and analyze the large amounts of data we collect in our inbound database. Using modern database technologies, we can provide actionable insights across disparate data-sets in a manner not easily achievable or cost effectively, at scale or efficiently, with traditional databases or platform architectures.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Agility. </w:t>
      </w:r>
      <w:r>
        <w:rPr>
          <w:rFonts w:ascii="Times New Roman" w:cs="Times New Roman" w:eastAsia="Times New Roman" w:hAnsi="Times New Roman"/>
          <w:sz w:val="18"/>
          <w:szCs w:val="18"/>
          <w:color w:val="auto"/>
        </w:rPr>
        <w:t>Our infrastructure and development and software release processes allow us to update our platform for specific groups of customers 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 customer base at any time. This means we can rapidly innovate and deliver new functionality frequently, without waiting for quarterly or annual release cycles. We typically deploy updates to our software platform hundreds of times a week, enabling us to gather immediate customer feedback and improve our product quickly and continuously.</w:t>
      </w:r>
    </w:p>
    <w:p>
      <w:pPr>
        <w:spacing w:after="0" w:line="17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leverage. </w:t>
      </w:r>
      <w:r>
        <w:rPr>
          <w:rFonts w:ascii="Times New Roman" w:cs="Times New Roman" w:eastAsia="Times New Roman" w:hAnsi="Times New Roman"/>
          <w:sz w:val="18"/>
          <w:szCs w:val="18"/>
          <w:color w:val="auto"/>
        </w:rPr>
        <w:t>Because our platform was built on an almost exclusive footprint of open-source software and designed to operate in cloud-based data-centers, we have benefited from large-scale price reductions by these cloud computing service providers as they continue to innovate and compete for market share. As our processing volume continues to grow, we continue to receive larger volume discounts on a per-unit basis such as cost for storage, bandwidth and computing capacity. We also believe that our extensive use, and contribution to, open-source software will provide additional leverage as we scale our platform and infrastructure.</w:t>
      </w:r>
    </w:p>
    <w:p>
      <w:pPr>
        <w:spacing w:after="0" w:line="180"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By leveraging leading cloud infrastructure providers along with our automated technology stack, we are able to scale workloads of varying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sizes at any time. This allows us to handle customers of all sizes and demands without traditional operational limitations such as network bandwidth, computing cycles, or storage capacity as we can scale our platform on-demand.</w:t>
      </w:r>
    </w:p>
    <w:p>
      <w:pPr>
        <w:spacing w:after="0" w:line="17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Reliability. </w:t>
      </w:r>
      <w:r>
        <w:rPr>
          <w:rFonts w:ascii="Times New Roman" w:cs="Times New Roman" w:eastAsia="Times New Roman" w:hAnsi="Times New Roman"/>
          <w:sz w:val="18"/>
          <w:szCs w:val="18"/>
          <w:color w:val="auto"/>
        </w:rPr>
        <w:t>Our platform’s uptime during 2013 and the first quarter of 2014 exceeded 99.9% while we delivered hundreds of product improvements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thousands of software releases in a continuous software delivery cycle. Customer data is distributed and processed across multiple data centers within a region to provide redundancy. We built our platform on a distributed computing architecture with no single points of failure and we operate across data-center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80"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We leverage industry standard network and perimeter defense technologies, DDoS protection systems (including web application firewalls)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enterprise grade DNS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175"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we had 116 employees in our research and development organization. Our research and development expenses were $10.0 million in 2011, $10.6 million in 2012, $15.0 million in 2013, $2.9 million in the three months ended March 31, 2013 and $4.7 million in the three months ended March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7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Marketing. </w:t>
      </w:r>
      <w:r>
        <w:rPr>
          <w:rFonts w:ascii="Times New Roman" w:cs="Times New Roman" w:eastAsia="Times New Roman" w:hAnsi="Times New Roman"/>
          <w:sz w:val="18"/>
          <w:szCs w:val="18"/>
          <w:color w:val="auto"/>
        </w:rPr>
        <w:t>Our marketing team focuses on inbound marketing and attracts over 40,000 new leads per month through our industry-leading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blog and other content, free tools, large social media following, high search engine rankings and personalized website and email content. Inbound sources generated approximately 93% of our new customers and over 77% of new leads during the first quarter of 2014. We believe most companies of our size and scale typically have a far lower volume of lead generation with a much larger share of it coming from traditional advertising methods.</w:t>
      </w:r>
    </w:p>
    <w:p>
      <w:pPr>
        <w:spacing w:after="0" w:line="177" w:lineRule="exact"/>
        <w:rPr>
          <w:sz w:val="20"/>
          <w:szCs w:val="20"/>
          <w:color w:val="auto"/>
        </w:rPr>
      </w:pPr>
    </w:p>
    <w:p>
      <w:pPr>
        <w:jc w:val="both"/>
        <w:ind w:right="2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Direct Sales. </w:t>
      </w:r>
      <w:r>
        <w:rPr>
          <w:rFonts w:ascii="Times New Roman" w:cs="Times New Roman" w:eastAsia="Times New Roman" w:hAnsi="Times New Roman"/>
          <w:sz w:val="18"/>
          <w:szCs w:val="18"/>
          <w:color w:val="auto"/>
        </w:rPr>
        <w:t>Our sales representatives are based in our offices in Cambridge, Massachusetts and Dublin, Ireland and use phone, email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 meetings to interact with prospects and customers. The vast majority of revenue generated by our sales representatives originates with inbound leads produced by our marketing efforts.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Channel Sales. </w:t>
      </w:r>
      <w:r>
        <w:rPr>
          <w:rFonts w:ascii="Times New Roman" w:cs="Times New Roman" w:eastAsia="Times New Roman" w:hAnsi="Times New Roman"/>
          <w:sz w:val="18"/>
          <w:szCs w:val="18"/>
          <w:color w:val="auto"/>
        </w:rPr>
        <w:t>In addition to our direct sales team, we have sales representatives that manage relationships with our worldwide network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agency partners who both use our platform for their own businesses and also, on a commissioned basis, refer customers to us. These marketing agencies partner with us not only to leverage our software platform and educational resources, but also to build their own business by offering new services and shifting their revenue mix to include more retainer-based business with a recurring revenue stream.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Culture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Transforming the business world to embrace the inbound experience requires a truly remarkable team. From the very beginning, our company was founded on a fundamental belief in radical transparency, individual autonomy and enlightened empathy.</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To that end, we published our “Culture Code,” a document codifying how we went about building a business that employees, customers and partners alike truly love. Our Culture Code slide deck has been viewed more than 1.2 million times on LinkedIn’s SlideShare and become an important element of our recruiting efforts. The seven core principles of our Culture Code are:</w:t>
      </w:r>
    </w:p>
    <w:p>
      <w:pPr>
        <w:spacing w:after="0" w:line="78" w:lineRule="exact"/>
        <w:rPr>
          <w:sz w:val="20"/>
          <w:szCs w:val="20"/>
          <w:color w:val="auto"/>
        </w:rPr>
      </w:pPr>
    </w:p>
    <w:p>
      <w:pPr>
        <w:ind w:left="900" w:right="44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maniacal about our mission and our metrics. </w:t>
      </w:r>
      <w:r>
        <w:rPr>
          <w:rFonts w:ascii="Times New Roman" w:cs="Times New Roman" w:eastAsia="Times New Roman" w:hAnsi="Times New Roman"/>
          <w:sz w:val="18"/>
          <w:szCs w:val="18"/>
          <w:color w:val="auto"/>
        </w:rPr>
        <w:t>Our mission is to make the world inbound and transform how organizations attract,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and delight their customers.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empower every employee, at every level, to “Solve for the Customer”. </w:t>
      </w:r>
      <w:r>
        <w:rPr>
          <w:rFonts w:ascii="Times New Roman" w:cs="Times New Roman" w:eastAsia="Times New Roman" w:hAnsi="Times New Roman"/>
          <w:sz w:val="18"/>
          <w:szCs w:val="18"/>
          <w:color w:val="auto"/>
        </w:rPr>
        <w:t>We solve for the customer, company, team and self, in that order.</w:t>
      </w:r>
    </w:p>
    <w:p>
      <w:pPr>
        <w:spacing w:after="0" w:line="130" w:lineRule="exact"/>
        <w:rPr>
          <w:rFonts w:ascii="Times New Roman" w:cs="Times New Roman" w:eastAsia="Times New Roman" w:hAnsi="Times New Roman"/>
          <w:sz w:val="18"/>
          <w:szCs w:val="18"/>
          <w:color w:val="auto"/>
        </w:rPr>
      </w:pPr>
    </w:p>
    <w:p>
      <w:pPr>
        <w:ind w:left="900" w:right="74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radically transparent. </w:t>
      </w:r>
      <w:r>
        <w:rPr>
          <w:rFonts w:ascii="Times New Roman" w:cs="Times New Roman" w:eastAsia="Times New Roman" w:hAnsi="Times New Roman"/>
          <w:sz w:val="18"/>
          <w:szCs w:val="18"/>
          <w:color w:val="auto"/>
        </w:rPr>
        <w:t>We believe that power is gained by sharing knowledge, not hoarding it and we share nearly all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with all of our employees no matter their title or position.</w:t>
      </w:r>
    </w:p>
    <w:p>
      <w:pPr>
        <w:spacing w:after="0" w:line="60" w:lineRule="exact"/>
        <w:rPr>
          <w:rFonts w:ascii="Times New Roman" w:cs="Times New Roman" w:eastAsia="Times New Roman" w:hAnsi="Times New Roman"/>
          <w:sz w:val="18"/>
          <w:szCs w:val="18"/>
          <w:color w:val="auto"/>
        </w:rPr>
      </w:pPr>
    </w:p>
    <w:p>
      <w:pPr>
        <w:ind w:left="900" w:right="18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give ourselves the autonomy to be awesome. </w:t>
      </w:r>
      <w:r>
        <w:rPr>
          <w:rFonts w:ascii="Times New Roman" w:cs="Times New Roman" w:eastAsia="Times New Roman" w:hAnsi="Times New Roman"/>
          <w:sz w:val="18"/>
          <w:szCs w:val="18"/>
          <w:color w:val="auto"/>
        </w:rPr>
        <w:t>We trust and empower each employee to use good judgment, and believe that results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more than when or where they are produced and that influence should be independent of hierarchy.</w:t>
      </w:r>
    </w:p>
    <w:p>
      <w:pPr>
        <w:spacing w:after="0" w:line="60" w:lineRule="exact"/>
        <w:rPr>
          <w:rFonts w:ascii="Times New Roman" w:cs="Times New Roman" w:eastAsia="Times New Roman" w:hAnsi="Times New Roman"/>
          <w:sz w:val="18"/>
          <w:szCs w:val="18"/>
          <w:color w:val="auto"/>
        </w:rPr>
      </w:pPr>
    </w:p>
    <w:p>
      <w:pPr>
        <w:ind w:left="900" w:right="54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unreasonably picky about our peers. </w:t>
      </w:r>
      <w:r>
        <w:rPr>
          <w:rFonts w:ascii="Times New Roman" w:cs="Times New Roman" w:eastAsia="Times New Roman" w:hAnsi="Times New Roman"/>
          <w:sz w:val="18"/>
          <w:szCs w:val="18"/>
          <w:color w:val="auto"/>
        </w:rPr>
        <w:t>We value people who are humble, effective and predisposed to action, adaptable to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remarkable standouts and transparent with others and with themselves.</w:t>
      </w:r>
    </w:p>
    <w:p>
      <w:pPr>
        <w:spacing w:after="0" w:line="60" w:lineRule="exact"/>
        <w:rPr>
          <w:rFonts w:ascii="Times New Roman" w:cs="Times New Roman" w:eastAsia="Times New Roman" w:hAnsi="Times New Roman"/>
          <w:sz w:val="18"/>
          <w:szCs w:val="18"/>
          <w:color w:val="auto"/>
        </w:rPr>
      </w:pPr>
    </w:p>
    <w:p>
      <w:pPr>
        <w:ind w:left="900" w:right="36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invest in individual mastery and market value. </w:t>
      </w:r>
      <w:r>
        <w:rPr>
          <w:rFonts w:ascii="Times New Roman" w:cs="Times New Roman" w:eastAsia="Times New Roman" w:hAnsi="Times New Roman"/>
          <w:sz w:val="18"/>
          <w:szCs w:val="18"/>
          <w:color w:val="auto"/>
        </w:rPr>
        <w:t>We want to be as proud of the people we build as we are of the company we build.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in investing in our people with ongoing learning, broad exposure and big challenges.</w:t>
      </w:r>
    </w:p>
    <w:p>
      <w:pPr>
        <w:spacing w:after="0" w:line="60" w:lineRule="exact"/>
        <w:rPr>
          <w:rFonts w:ascii="Times New Roman" w:cs="Times New Roman" w:eastAsia="Times New Roman" w:hAnsi="Times New Roman"/>
          <w:sz w:val="18"/>
          <w:szCs w:val="18"/>
          <w:color w:val="auto"/>
        </w:rPr>
      </w:pPr>
    </w:p>
    <w:p>
      <w:pPr>
        <w:ind w:left="900" w:right="720" w:hanging="446"/>
        <w:spacing w:after="0" w:line="28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constantly question the status quo. </w:t>
      </w:r>
      <w:r>
        <w:rPr>
          <w:rFonts w:ascii="Times New Roman" w:cs="Times New Roman" w:eastAsia="Times New Roman" w:hAnsi="Times New Roman"/>
          <w:sz w:val="18"/>
          <w:szCs w:val="18"/>
          <w:color w:val="auto"/>
        </w:rPr>
        <w:t>We believe that remarkable outcomes rarely result from modest risk and we’d rather be failing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frequently than never trying new things.</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take great pride in recruiting and retaining people with HEART: Humble, Effective, Adaptable, Remarkable and Transparent employees at every level of our company who want to transform the business world with inbound. We’ve been recognized as one of Boston’s Best Places to Work, a Best Place to Work for Recent Grads and one of Glassdoor’s Most Difficult Companies to Interview, and our policies on employee autonomy and transparency have been widely profiled in the media. At the end of the day, however, we do not just talk about culture, we measure it, just as we do the rest of our business. Our founders review our quarterly employee feedback metrics and surveys, respond to them and use them in executive team evaluations.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we had 679 employees. Of these employees, 612 are based in the United States and 67 are located in Ireland.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Our market is evolving, highly competitive and fragmented, and we expect competition to increase in the future. We believe the principal competitive factors in our market are:</w:t>
      </w:r>
    </w:p>
    <w:p>
      <w:pPr>
        <w:spacing w:after="0" w:line="67"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 for the market and product strategy and pace of innovation;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marketing focus and domain expertise;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all-in-one platform;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open architecture;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value and total cost of ownership;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third-party applications and data sources;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 brand reputation.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complete favorably with respect to all of these factors.</w:t>
      </w:r>
    </w:p>
    <w:p>
      <w:pPr>
        <w:spacing w:after="0" w:line="225" w:lineRule="exact"/>
        <w:rPr>
          <w:sz w:val="20"/>
          <w:szCs w:val="20"/>
          <w:color w:val="auto"/>
        </w:rPr>
      </w:pPr>
    </w:p>
    <w:p>
      <w:pPr>
        <w:ind w:right="420" w:firstLine="456"/>
        <w:spacing w:after="0" w:line="313" w:lineRule="auto"/>
        <w:rPr>
          <w:sz w:val="20"/>
          <w:szCs w:val="20"/>
          <w:color w:val="auto"/>
        </w:rPr>
      </w:pPr>
      <w:r>
        <w:rPr>
          <w:rFonts w:ascii="Times New Roman" w:cs="Times New Roman" w:eastAsia="Times New Roman" w:hAnsi="Times New Roman"/>
          <w:sz w:val="17"/>
          <w:szCs w:val="17"/>
          <w:color w:val="auto"/>
        </w:rPr>
        <w:t>We face intense competition from other software companies that develop marketing software and from marketing services companies that provide interactive marketing services. Our competitors offer various point applications that provide certain functions and features that we provide, including:</w:t>
      </w:r>
    </w:p>
    <w:p>
      <w:pPr>
        <w:spacing w:after="0" w:line="44"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instead of using our platform, some prospective customers may elect to combine disparate point applications, such as content management, marketing automation, analytics and social media management. We expect that new competitors, such as enterprise software vendors that have traditionally focused on enterprise resource planning or other applications supporting back office functions, will develop and introduce, or acquire, applications serving customer-facing and other front office functions.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and contracts. Some of our technology relies upon third-party licensed intellectual property.</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occupy approximately 100,000 square feet of office space in Cambridge, Massachusetts pursuant to a lease agreement that expires in 2020. We also maintain an office in Dublin, Ireland.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November 13, 2013, a putative class action complaint was filed in the Middlesex County Superior Court in the Commonwealth of Massachusetts, entitled Albert McCormack v. HubSpot, Inc. The complaint alleges that we maintained a policy of not paying overtime to our business development representatives for all hours worked in excess of 40 hours per week. The complaint seeks unpaid wages, multiple damages, injunctive relief, attorneys’ fees and costs. While there can be no assurance that the resolution of this matter will not have a material adverse effect on our consolidated financial statements, based on our investigation we believe this matter will not have a material adverse effect on our consolidated financial statements.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00"/>
          </w:cols>
          <w:pgMar w:left="240" w:top="455" w:right="3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directors and other key employees as of June 1,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Halligan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Dharmesh Shah</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Kelleher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Kinzer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J.D. Sherman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Stacey Bishop</w:t>
            </w:r>
            <w:r>
              <w:rPr>
                <w:rFonts w:ascii="Times New Roman" w:cs="Times New Roman" w:eastAsia="Times New Roman" w:hAnsi="Times New Roman"/>
                <w:sz w:val="15"/>
                <w:szCs w:val="15"/>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Bohn</w:t>
            </w:r>
            <w:r>
              <w:rPr>
                <w:rFonts w:ascii="Times New Roman" w:cs="Times New Roman" w:eastAsia="Times New Roman" w:hAnsi="Times New Roman"/>
                <w:sz w:val="15"/>
                <w:szCs w:val="15"/>
                <w:color w:val="auto"/>
              </w:rPr>
              <w:t>(2)(3)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Ron Gill</w:t>
            </w:r>
            <w:r>
              <w:rPr>
                <w:rFonts w:ascii="Times New Roman" w:cs="Times New Roman" w:eastAsia="Times New Roman" w:hAnsi="Times New Roman"/>
                <w:sz w:val="15"/>
                <w:szCs w:val="15"/>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Lorrie Norrington</w:t>
            </w:r>
            <w:r>
              <w:rPr>
                <w:rFonts w:ascii="Times New Roman" w:cs="Times New Roman" w:eastAsia="Times New Roman" w:hAnsi="Times New Roman"/>
                <w:sz w:val="15"/>
                <w:szCs w:val="15"/>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Simon</w:t>
            </w:r>
            <w:r>
              <w:rPr>
                <w:rFonts w:ascii="Times New Roman" w:cs="Times New Roman" w:eastAsia="Times New Roman" w:hAnsi="Times New Roman"/>
                <w:sz w:val="15"/>
                <w:szCs w:val="15"/>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Skok</w:t>
            </w:r>
            <w:r>
              <w:rPr>
                <w:rFonts w:ascii="Times New Roman" w:cs="Times New Roman" w:eastAsia="Times New Roman" w:hAnsi="Times New Roman"/>
                <w:sz w:val="15"/>
                <w:szCs w:val="15"/>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51"/>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Key Employees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Auger</w:t>
            </w:r>
          </w:p>
        </w:tc>
        <w:tc>
          <w:tcPr>
            <w:tcW w:w="24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Vice President of Services</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Cancel</w:t>
            </w:r>
          </w:p>
        </w:tc>
        <w:tc>
          <w:tcPr>
            <w:tcW w:w="240" w:type="dxa"/>
            <w:vAlign w:val="bottom"/>
          </w:tcPr>
          <w:p>
            <w:pPr>
              <w:spacing w:after="0"/>
              <w:rPr>
                <w:sz w:val="24"/>
                <w:szCs w:val="24"/>
                <w:color w:val="auto"/>
              </w:rPr>
            </w:pP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Product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Coffey</w:t>
            </w:r>
          </w:p>
        </w:tc>
        <w:tc>
          <w:tcPr>
            <w:tcW w:w="24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Vice President of Product Strategy and Corporate Development</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Elizabeth Graham</w:t>
            </w:r>
          </w:p>
        </w:tc>
        <w:tc>
          <w:tcPr>
            <w:tcW w:w="240" w:type="dxa"/>
            <w:vAlign w:val="bottom"/>
          </w:tcPr>
          <w:p>
            <w:pPr>
              <w:spacing w:after="0"/>
              <w:rPr>
                <w:sz w:val="24"/>
                <w:szCs w:val="24"/>
                <w:color w:val="auto"/>
              </w:rPr>
            </w:pP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Vice President of IT Operations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O’Neill</w:t>
            </w:r>
          </w:p>
        </w:tc>
        <w:tc>
          <w:tcPr>
            <w:tcW w:w="24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Information Officer</w:t>
            </w: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Mike Volpe</w:t>
            </w:r>
          </w:p>
        </w:tc>
        <w:tc>
          <w:tcPr>
            <w:tcW w:w="240" w:type="dxa"/>
            <w:vAlign w:val="bottom"/>
          </w:tcPr>
          <w:p>
            <w:pPr>
              <w:spacing w:after="0"/>
              <w:rPr>
                <w:sz w:val="24"/>
                <w:szCs w:val="24"/>
                <w:color w:val="auto"/>
              </w:rPr>
            </w:pPr>
          </w:p>
        </w:tc>
        <w:tc>
          <w:tcPr>
            <w:tcW w:w="7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Marketing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7"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of directors and holds office until his successor is duly elected and qualified or until his earlier resignation or removal. There are no family relationships among any of our directors or executive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Halligan, </w:t>
      </w:r>
      <w:r>
        <w:rPr>
          <w:rFonts w:ascii="Times New Roman" w:cs="Times New Roman" w:eastAsia="Times New Roman" w:hAnsi="Times New Roman"/>
          <w:sz w:val="18"/>
          <w:szCs w:val="18"/>
          <w:color w:val="auto"/>
        </w:rPr>
        <w:t>a founder of our company, has served as our chief executive officer and a member of our board of directors since 2005, and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chairman of our board of directors since March 2014. Mr. Halligan is also an author and a senior lecturer at the Massachusetts Institute of Technology, or MIT. Prior to founding HubSpot, Mr. Halligan served as venture partner at Longworth Ventures. From 2000 until 2004, he also worked as the vice president of sales of Groove Networks, which was later acquired by Microsoft. Mr. Halligan serves on the boards of directors of Fleetmatics Group, a global provider of fleet management solutions, and the Massachusetts Innovation and Technology Exchange (MITX). We believe that 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founder, and based on Mr. Halligan’s knowledge of our company and our business and his service as our chief executive officer, Mr. Halligan is qualified to serve on our board of directors.</w:t>
      </w:r>
    </w:p>
    <w:p>
      <w:pPr>
        <w:spacing w:after="0" w:line="15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Dharmesh Shah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founder of our company, has served as our chief technology officer and a member of our board of directors since 2005.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HubSpot, he was founder and chief executive officer of Pyramid Digital Solutions, a software company, which was acquired by SunGard Data Systems in 2005. Mr. Shah is also an author and angel investor. We believe that as a founder, and based on Mr. Shah’s knowledge of our company and our business and his service as our chief technology, Mr. Shah is qualified to serve on our board of directors.</w:t>
      </w:r>
    </w:p>
    <w:p>
      <w:pPr>
        <w:spacing w:after="0" w:line="177" w:lineRule="exact"/>
        <w:rPr>
          <w:sz w:val="20"/>
          <w:szCs w:val="20"/>
          <w:color w:val="auto"/>
        </w:rPr>
      </w:pPr>
    </w:p>
    <w:p>
      <w:pPr>
        <w:ind w:right="140" w:firstLine="45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Kelleher </w:t>
      </w:r>
      <w:r>
        <w:rPr>
          <w:rFonts w:ascii="Times New Roman" w:cs="Times New Roman" w:eastAsia="Times New Roman" w:hAnsi="Times New Roman"/>
          <w:sz w:val="17"/>
          <w:szCs w:val="17"/>
          <w:color w:val="auto"/>
        </w:rPr>
        <w:t>has served as our general counsel since June 2012. Previously, from 2003, Mr. Kelleher served as the senior vice president and general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counsel of Endeca Technologies until its acquisition by Oracle in December 2011. Prior to his legal career, Mr. Kelleher was a Lieutenant in the U.S. Navy.</w:t>
      </w:r>
    </w:p>
    <w:p>
      <w:pPr>
        <w:spacing w:after="0" w:line="132"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Kinzer </w:t>
      </w:r>
      <w:r>
        <w:rPr>
          <w:rFonts w:ascii="Times New Roman" w:cs="Times New Roman" w:eastAsia="Times New Roman" w:hAnsi="Times New Roman"/>
          <w:sz w:val="18"/>
          <w:szCs w:val="18"/>
          <w:color w:val="auto"/>
        </w:rPr>
        <w:t>has served as our chief financial officer since November 2013. From 2012 to 2013, prior to joining HubSpot, he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BackOffice Associates. From 2001 to 2012, Mr. Kinzer worked for Blackboard, serving as chief financial officer from 2010 to 2012. He has also worked at MCI and Arthur Andersen.</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J.D. Sherman </w:t>
      </w:r>
      <w:r>
        <w:rPr>
          <w:rFonts w:ascii="Times New Roman" w:cs="Times New Roman" w:eastAsia="Times New Roman" w:hAnsi="Times New Roman"/>
          <w:sz w:val="18"/>
          <w:szCs w:val="18"/>
          <w:color w:val="auto"/>
        </w:rPr>
        <w:t>has served as our chief operating officer since March 2012 and as our president since March 2014. From 2005 to 2012, Mr. Sherman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financial officer of Akamai Technologies. From 1990 to 2005, he served in various positions at IBM including as vice president of financial planning and assistant controller of corporate financial strategy and budgets. He currently serves on the board of directors of Cypress Semiconductor.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Stacey Bishop </w:t>
      </w:r>
      <w:r>
        <w:rPr>
          <w:rFonts w:ascii="Times New Roman" w:cs="Times New Roman" w:eastAsia="Times New Roman" w:hAnsi="Times New Roman"/>
          <w:sz w:val="18"/>
          <w:szCs w:val="18"/>
          <w:color w:val="auto"/>
        </w:rPr>
        <w:t>has served as a member of our board of directors since August 2013. Ms. Bishop is a Managing Director of Scale Venture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a venture capital investor for Scale since 1999. Ms. Bishop focuses on investing in SaaS and digital marketing companies and serves on the boards of directors of several private software companies. We believe that Ms. Bishop is qualified to serve as a director based on her experience as a seasoned investor and knowledge of the industry in which we operate.</w:t>
      </w:r>
    </w:p>
    <w:p>
      <w:pPr>
        <w:spacing w:after="0" w:line="1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Bohn </w:t>
      </w:r>
      <w:r>
        <w:rPr>
          <w:rFonts w:ascii="Times New Roman" w:cs="Times New Roman" w:eastAsia="Times New Roman" w:hAnsi="Times New Roman"/>
          <w:sz w:val="18"/>
          <w:szCs w:val="18"/>
          <w:color w:val="auto"/>
        </w:rPr>
        <w:t>has served as a member of our board of directors since July 2007. Mr. Bohn is a Managing Director of General Catalyst Partners, a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firm, which he joined in 2002. Prior to joining General Catalyst, Mr. Bohn served as the president, chief executive officer and chairman of the board of directors of NetGenesis, a leading software and analytic solutions provider. Mr. Bohn has also served as President of PC Docs a developer of document management software for enterprise networks. He currently serves on the board of directors of Demandware and on the board of directors of several private software and technology companies, including BlackDuck, BigCommerce, GoodData and Yottaa. We believe that Mr. Bohn is qualified to serve as a director based on his experience as a seasoned investor and a current and former director of many companies, and his knowledge of the industry in which we operate.</w:t>
      </w:r>
    </w:p>
    <w:p>
      <w:pPr>
        <w:spacing w:after="0" w:line="18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 Gill </w:t>
      </w:r>
      <w:r>
        <w:rPr>
          <w:rFonts w:ascii="Times New Roman" w:cs="Times New Roman" w:eastAsia="Times New Roman" w:hAnsi="Times New Roman"/>
          <w:sz w:val="18"/>
          <w:szCs w:val="18"/>
          <w:color w:val="auto"/>
        </w:rPr>
        <w:t>has served as a member of our board of directors since June 2012. Mr. Gill has held multiple positions at NetSuite, Inc. since joining in 2007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chief financial officer since 2010. Prior to joining NetSuite, Ron was vice president, finance at Hyperion Solutions. Previously, he held a variety of financial positions with several technology companies, including SAP, Dell and Sony. We believe that Mr. Gill is qualified to serve as director based on his broad industry experience and extensive financial leadership experience.</w:t>
      </w:r>
    </w:p>
    <w:p>
      <w:pPr>
        <w:spacing w:after="0" w:line="177"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Lorrie Norrington </w:t>
      </w:r>
      <w:r>
        <w:rPr>
          <w:rFonts w:ascii="Times New Roman" w:cs="Times New Roman" w:eastAsia="Times New Roman" w:hAnsi="Times New Roman"/>
          <w:sz w:val="18"/>
          <w:szCs w:val="18"/>
          <w:color w:val="auto"/>
        </w:rPr>
        <w:t>has served as a member of our board of directors since September 2013. Ms. Norrington currently serves as an advisor to Lead 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private equity firm, where she also serves as an operating partner, and as an advisor to several technology businesses. Prior to Lead Edge, Norrington was the President of eBay Marketplaces, eBay, an online marketplace, and served in several roles at eBay from 2005 to 2010. Prior 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joining eBay, she was the chief executive officer of Shopping.com from 2005 to 2006 and was an executive vice president at Intuit from 2001 to 2005. Ms. Norrington serves on the board of directors of Autodesk and DIRECTV. We believe that Ms. Norrington is qualified to serve as a director based on her broad industry experience and experience as a current and former director of many companies.</w:t>
      </w:r>
    </w:p>
    <w:p>
      <w:pPr>
        <w:spacing w:after="0" w:line="172"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Simon </w:t>
      </w:r>
      <w:r>
        <w:rPr>
          <w:rFonts w:ascii="Times New Roman" w:cs="Times New Roman" w:eastAsia="Times New Roman" w:hAnsi="Times New Roman"/>
          <w:sz w:val="18"/>
          <w:szCs w:val="18"/>
          <w:color w:val="auto"/>
        </w:rPr>
        <w:t>has served as a member of our board of directors since June 2011. Since 2003, Mr. Simon has served as the co-founder, chairman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LogMeIn. Mr. Simon also serves on the Graduate Studies Advisory Council at the University of Notre Dame. We believe that Mr. Simon is qualified to serve as a director based on his broad industry and leadership experience.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David Skok </w:t>
      </w:r>
      <w:r>
        <w:rPr>
          <w:rFonts w:ascii="Times New Roman" w:cs="Times New Roman" w:eastAsia="Times New Roman" w:hAnsi="Times New Roman"/>
          <w:sz w:val="17"/>
          <w:szCs w:val="17"/>
          <w:color w:val="auto"/>
        </w:rPr>
        <w:t>has served as a member of our board of directors since May 2008. Since 2001, Mr. Skok has served as a General Partner at Matrix Partners.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Skok currently serves on the boards of directors of several private companies.</w:t>
      </w:r>
    </w:p>
    <w:p>
      <w:pPr>
        <w:spacing w:after="0" w:line="207"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believe that Mr. Skok is qualified to serve as a director based on his experience as a seasoned investor and a current and former director of many companies and his knowledge of the industry in which we operate.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117"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Auger </w:t>
      </w:r>
      <w:r>
        <w:rPr>
          <w:rFonts w:ascii="Times New Roman" w:cs="Times New Roman" w:eastAsia="Times New Roman" w:hAnsi="Times New Roman"/>
          <w:sz w:val="18"/>
          <w:szCs w:val="18"/>
          <w:color w:val="auto"/>
        </w:rPr>
        <w:t>has served in multiples roles since joining HubSpot in April 2010, including as the director of customer support, director of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director of customer operations, director of account management and customer operations and in his current role as vice president of services. From 2008 to 2010, he served as the chief executive officer of Metallect.</w:t>
      </w:r>
    </w:p>
    <w:p>
      <w:pPr>
        <w:spacing w:after="0" w:line="17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Cancel </w:t>
      </w:r>
      <w:r>
        <w:rPr>
          <w:rFonts w:ascii="Times New Roman" w:cs="Times New Roman" w:eastAsia="Times New Roman" w:hAnsi="Times New Roman"/>
          <w:sz w:val="18"/>
          <w:szCs w:val="18"/>
          <w:color w:val="auto"/>
        </w:rPr>
        <w:t>has served as our chief product officer since June 2011. Before joining HubSpot, Mr. Cancel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Performable from 2009 until we acquired Performable in June 2011. From 2009 to 2010, Mr. Cancel served as the chief executive officer of Ghostery until its acquisition by Evidon.</w:t>
      </w:r>
    </w:p>
    <w:p>
      <w:pPr>
        <w:ind w:right="120" w:firstLine="456"/>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 Coffey </w:t>
      </w:r>
      <w:r>
        <w:rPr>
          <w:rFonts w:ascii="Times New Roman" w:cs="Times New Roman" w:eastAsia="Times New Roman" w:hAnsi="Times New Roman"/>
          <w:sz w:val="18"/>
          <w:szCs w:val="18"/>
          <w:color w:val="auto"/>
        </w:rPr>
        <w:t>has served as our vice president of product strategy and corporate development since December 2007. Prior to joining HubSpot, he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 at PRTM, a management consulting subsidiary of PricewaterhouseCoopers.</w:t>
      </w:r>
    </w:p>
    <w:p>
      <w:pPr>
        <w:spacing w:after="0" w:line="176" w:lineRule="exact"/>
        <w:rPr>
          <w:sz w:val="20"/>
          <w:szCs w:val="20"/>
          <w:color w:val="auto"/>
        </w:rPr>
      </w:pPr>
    </w:p>
    <w:p>
      <w:pPr>
        <w:jc w:val="both"/>
        <w:ind w:right="2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Graham </w:t>
      </w:r>
      <w:r>
        <w:rPr>
          <w:rFonts w:ascii="Times New Roman" w:cs="Times New Roman" w:eastAsia="Times New Roman" w:hAnsi="Times New Roman"/>
          <w:sz w:val="18"/>
          <w:szCs w:val="18"/>
          <w:color w:val="auto"/>
        </w:rPr>
        <w:t>joined us in October 2013 as our vice president of people operations and has served our vice president of IT operations since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Prior to joining HubSpot, from 2012 to 2013, she served as an advisor to Sala USA. From 1999 to 2012, she held several leadership roles at Comcast Corporation, including vice president of technical operations and vice president of network operations centers.</w:t>
      </w:r>
    </w:p>
    <w:p>
      <w:pPr>
        <w:spacing w:after="0" w:line="171" w:lineRule="exact"/>
        <w:rPr>
          <w:sz w:val="20"/>
          <w:szCs w:val="20"/>
          <w:color w:val="auto"/>
        </w:rPr>
      </w:pPr>
    </w:p>
    <w:p>
      <w:pPr>
        <w:ind w:right="3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Jim O’Neill </w:t>
      </w:r>
      <w:r>
        <w:rPr>
          <w:rFonts w:ascii="Times New Roman" w:cs="Times New Roman" w:eastAsia="Times New Roman" w:hAnsi="Times New Roman"/>
          <w:sz w:val="18"/>
          <w:szCs w:val="18"/>
          <w:color w:val="auto"/>
        </w:rPr>
        <w:t>has served as our chief information officer since 2007. Prior to joining HubSpot, Mr. O’Neill served as the chief technology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Pyramid Digital Solutions until its acquisition by SunGard Data Systems in 2005. Following the sale, he joined SunGard as a senior vice president and chief technology officer.</w:t>
      </w:r>
    </w:p>
    <w:p>
      <w:pPr>
        <w:spacing w:after="0" w:line="171"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 Volpe </w:t>
      </w:r>
      <w:r>
        <w:rPr>
          <w:rFonts w:ascii="Times New Roman" w:cs="Times New Roman" w:eastAsia="Times New Roman" w:hAnsi="Times New Roman"/>
          <w:sz w:val="18"/>
          <w:szCs w:val="18"/>
          <w:color w:val="auto"/>
        </w:rPr>
        <w:t>joined HubSpot in March 2007 and currently serves as our chief marketing officer. From 2003 to 2007, prior to joining HubSpot, Mr. Volpe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in various roles at SolidWorks including as director of marketing operations and marketing manager.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eight members. Our certificate of incorporation and bylaws to be effective upon the closing of this offering provide that the number of our directors shall be fixed from time to time by a resolution of the majority of our board of directors. Upon completion of this offering, our board of directors will be divided into three staggered classes of directors. At each annual meeting of stockholders, a class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of directors will be elected for a three-year term to succeed the same class of directors whose terms are then expiring. The terms of the directors will expire upon the election and qualification of successor directors at the annual meeting of stockholders to be held during 2015 for the Class I directors, 2016 for the Class II directors and 2017 for the Class III directors.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Our Class I directors will be</w:t>
            </w: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Our Class II directors will be</w:t>
            </w: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Our Class III directors will be</w:t>
            </w: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a change of our management or a change of control. See the section of this prospectus captioned “Description of Capital Stock—Anti-Takeover Effects of Delaware Law and Our Amended and Restated Certificate of Incorporation and Amended and Restated Bylaws” for a discussion of other anti-takeover provisions found in our certificate of incorporation and bylaws to be effective upon the closing of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Under the rules of the , or , independent directors must comprise a majority of a listed company’s board of directors within a specified period of the completion of its offering. In addition, the rules of require that, subject to specified exceptions, each member of a listed company’s audit, compensation and nominating and corporate governance committees be independent. Under the rules of , a director will only qualify</w:t>
      </w:r>
    </w:p>
    <w:p>
      <w:pPr>
        <w:spacing w:after="0" w:line="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 2014, our board of directors undertook a review of its composition, the composition of its committees and the independence of each director. Based upon information requested from and provided by each director concerning his background, employment and affiliations, our board of directors has determined that, none of the members of the board of directors, except for Messrs. Halligan and Shah, has a relationship that would interfere with the exercise of independent judgment in carrying out the responsibilities of a director and that each of these directors is “independent” as that term is</w:t>
      </w:r>
    </w:p>
    <w:p>
      <w:pPr>
        <w:spacing w:after="0" w:line="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defined under the rules of . Our board of directors also determined that Ms. Bishop and Messrs. Gill and Skok, who comprise our audit committee, Messrs. Bohn, Simon and Skok, who comprise our compensation committee, and Mr. Bohn and Mses. Bishop and Norrington, who comprise our corporate governance and nominating committee, satisfy the independence standards for those committees established by applicable SEC rules and the rules of</w:t>
      </w:r>
    </w:p>
    <w:p>
      <w:pPr>
        <w:spacing w:after="0" w:line="1" w:lineRule="exact"/>
        <w:rPr>
          <w:sz w:val="20"/>
          <w:szCs w:val="20"/>
          <w:color w:val="auto"/>
        </w:rPr>
      </w:pPr>
    </w:p>
    <w:p>
      <w:pPr>
        <w:ind w:right="200" w:firstLine="728"/>
        <w:spacing w:after="0" w:line="255" w:lineRule="auto"/>
        <w:tabs>
          <w:tab w:leader="none" w:pos="8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of the Board in Risk Oversight</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Mr. Halligan serves as our chief executive officer and as chairman of the board. The board of directors believes that having our chief executive officer as chairman of the board facilitates the board of directors’ decision-making process because Mr. Halligan has first-hand knowledge of our operations and the major issues facing us. This also enables Mr. Halligan to act as the key link between the board of directors and other members of management.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60"/>
          </w:cols>
          <w:pgMar w:left="240" w:top="455" w:right="2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also monitors compliance with legal and regulatory requirements, in addition to oversight of the performance of our external audit function. Our corporate governance and nominating committee monitors the effectiveness of our corporate governance guidelines. Our compensation committee reviews and discusses the risks arising from our compensation philosophy and practices applicable to all employees that are reasonably likely to have a materially adverse effect on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corporate governance and nominating committee, each of which has the composition and responsibilities described below. The audit committee, compensation committee and corporate governance and nominating committee all operate under charters approved by our board of directors, which will be available on our website upon the closing of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the board of directors in monitoring our financial systems and our legal and regulatory compliance. Our audit committee will also:</w:t>
      </w:r>
    </w:p>
    <w:p>
      <w:pPr>
        <w:spacing w:after="0" w:line="67"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work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and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rotation of partners of the independent registered public accounting firm on our engagement team as required by law;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consolidated financial statements and review our critical accounting policies and estimates;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and our interim consolidated financial statements.</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Ms. Bishop and Messrs. Gill and Skok. Mr. Gill is our audit committee chairman. Our board of directors has concluded that the composition of our audit committee meets the requirements for independence under, and the functioning of our audit committee complies with, the current requirements of and SEC rules and regulations, and Mr. Gill is an audit committee financial expert as defined under SEC rules and regulations.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committee oversees our corporate compensation programs. The compensation committee will also:</w:t>
      </w:r>
    </w:p>
    <w:p>
      <w:pPr>
        <w:spacing w:after="0" w:line="131"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executive officers;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ectPr>
          <w:pgSz w:w="11900" w:h="16838" w:orient="portrait"/>
          <w:cols w:equalWidth="0" w:num="1">
            <w:col w:w="11380"/>
          </w:cols>
          <w:pgMar w:left="240" w:top="455" w:right="2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executive officers in light of established goals and objectives;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compensation of our executive officers based on its evaluations;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compensation of our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Messrs. Bohn, Simon and Skok. Mr. Simon is the chairman of our compensation committee. Our board of directors has determined that each of Messrs. Bohn, Simon and Skok is “independent” for compensation committee purposes as that term is defined under the applicable rules, and before the expiration of the phase-in period applicable to initial public offerings under the applicable rules, all members of our compensation committee will be “independent” for compensation committee purposes.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oversees and assists our board of directors in reviewing and recommending corporate governance policies and nominees for election to our board of directors. The corporate governance and nominating committee will also:</w:t>
      </w:r>
    </w:p>
    <w:p>
      <w:pPr>
        <w:spacing w:after="0" w:line="67" w:lineRule="exact"/>
        <w:rPr>
          <w:sz w:val="20"/>
          <w:szCs w:val="20"/>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of directors and its committees;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of directors and make recommendations regarding committee and chair assignments;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of directors membership and conduct searches for potential members of the board of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members of our corporate governance and nominating committee are Mr. Bohn and Mses. Bishop and Norrington. Ms. Norrington is the chairman of our corporate governance and nominating committee. Our board of directors has determined that each member of our corporate governance and</w:t>
      </w: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nominating committee is independent under the applicable rules of</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2013. Other than as set forth in the table and described more fully below, we did not pay any compensation, make any equity awards or non-equity awards to, or pay any other compensation to any of the non-employee members of our board of directors in 2013. Mr. Halligan and Mr. Shah, who are also our chief executive officer and chief technology officer, respectively, receive no compensation for their services as directors and, consequently, are not included in this table. The compensation received by Mr. Halligan and Mr. Shah during 2013 are set forth in the section of this prospectus captioned “Executive Compensation— Summary Compensation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Total</w:t>
            </w:r>
            <w:r>
              <w:rPr>
                <w:rFonts w:ascii="Times New Roman" w:cs="Times New Roman" w:eastAsia="Times New Roman" w:hAnsi="Times New Roman"/>
                <w:sz w:val="12"/>
                <w:szCs w:val="12"/>
                <w:b w:val="1"/>
                <w:bCs w:val="1"/>
                <w:color w:val="auto"/>
                <w:w w:val="95"/>
              </w:rPr>
              <w:t>(1)</w:t>
            </w:r>
          </w:p>
        </w:tc>
        <w:tc>
          <w:tcPr>
            <w:tcW w:w="0" w:type="dxa"/>
            <w:vAlign w:val="bottom"/>
          </w:tcPr>
          <w:p>
            <w:pPr>
              <w:spacing w:after="0"/>
              <w:rPr>
                <w:sz w:val="1"/>
                <w:szCs w:val="1"/>
                <w:color w:val="auto"/>
              </w:rPr>
            </w:pPr>
          </w:p>
        </w:tc>
      </w:tr>
      <w:tr>
        <w:trPr>
          <w:trHeight w:val="173"/>
        </w:trPr>
        <w:tc>
          <w:tcPr>
            <w:tcW w:w="9560" w:type="dxa"/>
            <w:vAlign w:val="bottom"/>
            <w:gridSpan w:val="2"/>
            <w:vMerge w:val="continue"/>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rPr>
              <w:t>Lorrie</w:t>
            </w:r>
          </w:p>
        </w:tc>
        <w:tc>
          <w:tcPr>
            <w:tcW w:w="9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Norrington</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61"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granted Ms. Norrington this award in connection with her appointment to our board of directors in September 2013. The amount reported represents the aggregate grant date fair value of the stock options awarded to Ms. Norrington in 2013, calculated in accordance with FASB ASC Topic 718. Such grant date fair value does not take into account any estimated forfeitures related to service-vesting conditions. The assumptions used in calculating the grant date fair value of the stock options reported in this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column are set forth in the Notes to our Consolidated Financial Statements included elsewhere in this prospectus. The amount reported in this column reflects the accounting cost for these stock options, and does not correspond to the actual economic value that may be received by Ms. Norrington upon exercise of the options.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2013 and during the three months ended March 31, 2014, we did not maintain any standard fee arrangements for the non-employee members of our board of directors for their service as a director. We intend to adopt a new non-employee director compensation policy prior to the completion of this offering. Any director affiliated with an investor in our company that holds one percent or more of our capital stock will not be eligible to participate in the non-employee director compensation policy. Pursuant to this policy, each of our non-employee will receive an annual grant of an option to purchase $35,000</w:t>
      </w:r>
    </w:p>
    <w:p>
      <w:pPr>
        <w:spacing w:after="0" w:line="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worth of common stock (equal to approximately shares, based on an assumed offering price of $ per share, the midpoint of the estimated price range set forth on the cover page of this prospectus) and a restricted stock unit grant for $100,000 worth of common stock (equal to approximately shares, based on an assumed offering price of $ per share, the midpoint of the estimated price range set forth on the</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cover page of this prospectus). The options and restricted stock units will vest in full on the first anniversary of the vesting start date. All unvested options or restricted stock units held by a non-employee director will accelerate and immediately vest if the non-employee director is terminated within three months prior to or twelve months following a change of control of our company. The exercise price of the options and restricted stock units will be greater than or equal to the fair market value of a share of our common stock at the time of grant. Each of these directors will also annually receive $25,000 for general availability and participation in meetings and conference calls of our board of directors, to be paid quarterly. Additionally, the audit committee chairperson will annually receive $15,000, an audit committee member will annually receive $5,000, the compensation committee chairperson will annually receive $10,000, a compensation committee member will annually receive $4,000, the nominating and corporate governance committee chairperson will annually receive $5,000 and a nominating and corporate governance committee member will annually receive $3,000.</w:t>
      </w:r>
    </w:p>
    <w:p>
      <w:pPr>
        <w:spacing w:after="0" w:line="18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policy has been and will continue to be to reimburse our non-employee directors for their travel, lodging and other reasonable expenses incurred in attending meetings of our board of directors and committees of the board of 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who are employees do not receive any compensation for their service on our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2013 and the three months ended March 31, 2014, our compensation committee was comprised of Messrs. Bohn, Simon and Skok.</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October and November 2012, we issued and sold an aggregate of 6,267,336 shares of our Series E preferred stock for an aggregate purchase price of approximately $35,000,000. As part of this offering, we sold an aggregate of 219,623 shares of our Series E preferred stock for an aggregate purchase price of $1,233,446.69 to entities affiliated with Matrix Partners, of which Mr. Skok is a general partner. We also sold an aggregate of 346,459 shares of Series E preferred stock for an aggregate purchase price of $1,945,783.04 to entities affiliated with General Catalyst Partners, of which Mr. Bohn is a general partner. We also sold an aggregate of 44,514 shares of Series E preferred stock for an aggregate purchase price of $249,999.53 to Mr. Simon.</w:t>
      </w:r>
    </w:p>
    <w:p>
      <w:pPr>
        <w:spacing w:after="0" w:line="184"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addition, in March 2011, we issued and sold an aggregate of 7,634,497 shares of our Series D preferred stock for an aggregate purchase price of approximately $21.5 million. As part of this offering we sold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aggregate of 710,186 shares of our Series D preferred stock to entities affiliated with Matrix Partners, of which Mr. Skok is a general partner. We also sold an aggregate of 710,186 shares of our Series D preferred stock for an aggregate purchase price of $2,000,000.96 to entities affiliated with General Catalyst Partners, of which Mr. Bohn is a general partner.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more information regarding sales of our preferred stock, see “Certain Relationships and Related Party Transactions—Sales of Preferred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expect to adopt a code of business conduct and ethics that is applicable to all of our employees, officers and directors including our chief executive officer and senior financial officers, which will be available on our website upon the closing of this offering.</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240" w:top="455" w:right="3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Mr. Halligan, our chief executive officer, and the other executive officers identified in the Summary Compensation Table below, whom we refer to as our named executive officers, has consisted of a combination of base salary and long-term incentive compensation in the form of stock options. Our named executive officers and all salaried employees are also eligible to receive health and welfare benefits. Prior to the completion of this offering, we intend to enter into change in control agreements with certain of our executive officers which would entitle those executive officers to acceleration of vesting of equity upon a termination of employment occurring within three months prior to or twelve months following a change in control of our company. As we transition from a private company to a publicly-traded company, we have engaged the services of an independent executive compensation consulting firm to review our current compensation plans and procedures and to provide additional information about comparative compensation offered by peer companies, market survey information and information about trends in executive compensation.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right="260" w:firstLine="456"/>
        <w:spacing w:after="0" w:line="289" w:lineRule="auto"/>
        <w:rPr>
          <w:sz w:val="20"/>
          <w:szCs w:val="20"/>
          <w:color w:val="auto"/>
        </w:rPr>
      </w:pPr>
      <w:r>
        <w:rPr>
          <w:rFonts w:ascii="Times New Roman" w:cs="Times New Roman" w:eastAsia="Times New Roman" w:hAnsi="Times New Roman"/>
          <w:sz w:val="17"/>
          <w:szCs w:val="17"/>
          <w:color w:val="auto"/>
        </w:rPr>
        <w:t>The following table presents information regarding the total compensation awarded to, earned by, and paid to our chief executive officer and the two most highly compensated executive officers (other than the chief executive officer) who were serving as executive officers at the end of the last completed fiscal year for services rendered to us in all capacities for the year ended December 31, 2013. These individuals are the named executive officers for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80" w:type="dxa"/>
            <w:vAlign w:val="bottom"/>
            <w:gridSpan w:val="2"/>
            <w:vMerge w:val="continue"/>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 xml:space="preserve">Awards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 xml:space="preserve">Awards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Halligan</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132,376</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371,771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Kinzer</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4"/>
              </w:rPr>
              <w:t>2013</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43,163</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724,927</w:t>
            </w:r>
            <w:r>
              <w:rPr>
                <w:rFonts w:ascii="Times New Roman" w:cs="Times New Roman" w:eastAsia="Times New Roman" w:hAnsi="Times New Roman"/>
                <w:sz w:val="15"/>
                <w:szCs w:val="15"/>
                <w:color w:val="auto"/>
              </w:rPr>
              <w:t>(2)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36,217</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9,999</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814,306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J.D. Sherman</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2013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259,560</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132,376</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1,231</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393,167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line="270"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Kinzer was granted 300,000 restricted stock units in connection with his hiring in 2013. The restricted stock units are subject to the satisfaction of a service condition and a performance condition, both of which must be satisfied before the restricted stock units are vested and may be settled in shares of our common stock. The service condition is satisfied over a period of four years. The performance condition will be satisfied on the earlier of (i) a sale of our company or (ii) the date that is six months following our initial public offering, in either case, prior to the earlier of (A) the expiration date or</w:t>
      </w:r>
    </w:p>
    <w:p>
      <w:pPr>
        <w:spacing w:after="0" w:line="2" w:lineRule="exact"/>
        <w:rPr>
          <w:rFonts w:ascii="Times New Roman" w:cs="Times New Roman" w:eastAsia="Times New Roman" w:hAnsi="Times New Roman"/>
          <w:sz w:val="17"/>
          <w:szCs w:val="17"/>
          <w:color w:val="auto"/>
        </w:rPr>
      </w:pPr>
    </w:p>
    <w:p>
      <w:pPr>
        <w:jc w:val="both"/>
        <w:ind w:left="460" w:right="2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tenth anniversary of the grant date. These performance conditions were not considered probable as of December 31, 2013 and therefore there was no grant-date fair value calculated in accordance with ASC Topic 718. Such grant-date fair value is $758,880 assuming that the highest level of performance conditions will be achieved.</w:t>
      </w:r>
    </w:p>
    <w:p>
      <w:pPr>
        <w:spacing w:after="0" w:line="1" w:lineRule="exact"/>
        <w:rPr>
          <w:rFonts w:ascii="Times New Roman" w:cs="Times New Roman" w:eastAsia="Times New Roman" w:hAnsi="Times New Roman"/>
          <w:sz w:val="17"/>
          <w:szCs w:val="17"/>
          <w:color w:val="auto"/>
        </w:rPr>
      </w:pPr>
    </w:p>
    <w:p>
      <w:pPr>
        <w:ind w:left="460" w:right="220" w:hanging="452"/>
        <w:spacing w:after="0" w:line="26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Kinzer was granted 300,000 stock options at an exercise price of $4.80 in connection with his hiring in 2013. The amounts reported represent the aggregate grant-date fair value of the stock options awarded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80"/>
        <w:spacing w:after="0" w:line="261" w:lineRule="auto"/>
        <w:rPr>
          <w:sz w:val="20"/>
          <w:szCs w:val="20"/>
          <w:color w:val="auto"/>
        </w:rPr>
      </w:pPr>
      <w:r>
        <w:rPr>
          <w:rFonts w:ascii="Times New Roman" w:cs="Times New Roman" w:eastAsia="Times New Roman" w:hAnsi="Times New Roman"/>
          <w:sz w:val="18"/>
          <w:szCs w:val="18"/>
          <w:color w:val="auto"/>
        </w:rPr>
        <w:t>Mr. Kinzer in 2013, calculated in accordance with ASC Topic 718. Such grant-date fair value does not take into account any estimated forfeitures related to service-vesting conditions.</w:t>
      </w:r>
    </w:p>
    <w:p>
      <w:pPr>
        <w:ind w:left="460" w:right="260" w:hanging="452"/>
        <w:spacing w:after="0" w:line="250"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performance-based payments awarded based on the achievement of certain corporate and individual performance goals under our executive bonus plan.</w:t>
      </w: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401(k) matching contributions, long-term disability insurance premiums and certain relocation benefits.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outstanding equity awards held by each named executive officer as of December 31,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60" w:type="dxa"/>
            <w:vAlign w:val="bottom"/>
            <w:tcBorders>
              <w:top w:val="single" w:sz="8" w:color="auto"/>
            </w:tcBorders>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2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04"/>
        </w:trPr>
        <w:tc>
          <w:tcPr>
            <w:tcW w:w="3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260" w:type="dxa"/>
            <w:vAlign w:val="bottom"/>
            <w:gridSpan w:val="2"/>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89"/>
              </w:rPr>
              <w:t>Brian</w:t>
            </w:r>
          </w:p>
        </w:tc>
        <w:tc>
          <w:tcPr>
            <w:tcW w:w="3860" w:type="dxa"/>
            <w:vAlign w:val="bottom"/>
            <w:tcBorders>
              <w:top w:val="single" w:sz="8" w:color="CCEEFF"/>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Halligan</w:t>
            </w: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422,993</w:t>
            </w:r>
          </w:p>
        </w:tc>
        <w:tc>
          <w:tcPr>
            <w:tcW w:w="540" w:type="dxa"/>
            <w:vAlign w:val="bottom"/>
            <w:tcBorders>
              <w:top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91"/>
              </w:rPr>
              <w:t>(2)</w:t>
            </w: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28,201</w:t>
            </w:r>
          </w:p>
        </w:tc>
        <w:tc>
          <w:tcPr>
            <w:tcW w:w="5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0.51</w:t>
            </w: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3/9/2020</w:t>
            </w: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166,666</w:t>
            </w:r>
            <w:r>
              <w:rPr>
                <w:rFonts w:ascii="Times New Roman" w:cs="Times New Roman" w:eastAsia="Times New Roman" w:hAnsi="Times New Roman"/>
                <w:sz w:val="15"/>
                <w:szCs w:val="15"/>
                <w:color w:val="auto"/>
              </w:rPr>
              <w:t>(3)</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233,334</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400,000</w:t>
            </w:r>
            <w:r>
              <w:rPr>
                <w:rFonts w:ascii="Times New Roman" w:cs="Times New Roman" w:eastAsia="Times New Roman" w:hAnsi="Times New Roman"/>
                <w:sz w:val="15"/>
                <w:szCs w:val="15"/>
                <w:color w:val="auto"/>
              </w:rPr>
              <w:t>(4)</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John Kinzer</w:t>
            </w:r>
          </w:p>
        </w:tc>
        <w:tc>
          <w:tcPr>
            <w:tcW w:w="300" w:type="dxa"/>
            <w:vAlign w:val="bottom"/>
          </w:tcPr>
          <w:p>
            <w:pPr>
              <w:spacing w:after="0"/>
              <w:rPr>
                <w:sz w:val="17"/>
                <w:szCs w:val="17"/>
                <w:color w:val="auto"/>
              </w:rPr>
            </w:pPr>
          </w:p>
        </w:tc>
        <w:tc>
          <w:tcPr>
            <w:tcW w:w="1260" w:type="dxa"/>
            <w:vAlign w:val="bottom"/>
            <w:gridSpan w:val="2"/>
          </w:tcPr>
          <w:p>
            <w:pPr>
              <w:jc w:val="right"/>
              <w:ind w:right="46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15"/>
                <w:szCs w:val="15"/>
                <w:color w:val="auto"/>
              </w:rPr>
              <w:t>(5)</w:t>
            </w:r>
          </w:p>
        </w:tc>
        <w:tc>
          <w:tcPr>
            <w:tcW w:w="94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4.80</w:t>
            </w:r>
          </w:p>
        </w:tc>
        <w:tc>
          <w:tcPr>
            <w:tcW w:w="118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11/4/2023</w:t>
            </w:r>
          </w:p>
        </w:tc>
        <w:tc>
          <w:tcPr>
            <w:tcW w:w="1220" w:type="dxa"/>
            <w:vAlign w:val="bottom"/>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6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15"/>
                <w:szCs w:val="15"/>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J.D. Sherman</w:t>
            </w:r>
          </w:p>
        </w:tc>
        <w:tc>
          <w:tcPr>
            <w:tcW w:w="156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647,041</w:t>
            </w:r>
            <w:r>
              <w:rPr>
                <w:rFonts w:ascii="Times New Roman" w:cs="Times New Roman" w:eastAsia="Times New Roman" w:hAnsi="Times New Roman"/>
                <w:sz w:val="15"/>
                <w:szCs w:val="15"/>
                <w:color w:val="auto"/>
              </w:rPr>
              <w:t>(7)</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898,876</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calculated in accordance with ASC Topic 718 using a per share fair market value as of December 31, 2013 at $4.89.</w:t>
      </w:r>
    </w:p>
    <w:p>
      <w:pPr>
        <w:spacing w:after="0" w:line="27"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our common stock subject to this option vest on March 9, 2011, and the balance vests in 36 successive equal monthly installments, subject to continued service through each such vesting date.</w:t>
      </w:r>
    </w:p>
    <w:p>
      <w:pPr>
        <w:ind w:left="460" w:right="12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our common stock subject to this option vest on April 1, 2013, and the balance vests in 36 successive equal monthly installments, subject to continued service through each such vesting date.</w:t>
      </w:r>
    </w:p>
    <w:p>
      <w:pPr>
        <w:ind w:left="460" w:right="12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our common stock subject to this option vest on April 1, 2014, and the balance vests in 36 successive equal monthly installments, subject to continued service through each such vesting date.</w:t>
      </w:r>
    </w:p>
    <w:p>
      <w:pPr>
        <w:ind w:left="460" w:right="70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our common stock subject to this option vest on November 4, 2014, and the balance vests in 36 successive equal monthly installments, subject to continued service through each such vesting date.</w:t>
      </w:r>
    </w:p>
    <w:p>
      <w:pPr>
        <w:ind w:left="460" w:right="8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are subject to the satisfaction of a service condition and a performance condition, both of which must be satisfied before the restricted stock units are vested and may be settled in shares of our common stock. The service condition is satisfied over a period of four years. The performance condition will be satisfied on the earlier of (i) a sale of our company or (ii) the date that is six months following our initial public offering, in either case, prior to the earlier of (A) the expiration date or (B) the tenth anniversary of the grant date.</w:t>
      </w:r>
    </w:p>
    <w:p>
      <w:pPr>
        <w:spacing w:after="0" w:line="1" w:lineRule="exact"/>
        <w:rPr>
          <w:rFonts w:ascii="Times New Roman" w:cs="Times New Roman" w:eastAsia="Times New Roman" w:hAnsi="Times New Roman"/>
          <w:sz w:val="18"/>
          <w:szCs w:val="18"/>
          <w:color w:val="auto"/>
        </w:rPr>
      </w:pPr>
    </w:p>
    <w:p>
      <w:pPr>
        <w:ind w:left="460" w:right="820" w:hanging="452"/>
        <w:spacing w:after="0" w:line="261"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our common stock subject to this option vested on March 1, 2013, and the balance vests in 36 successive equal monthly installments, subject to continued service through each such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and Incentive Plan</w:t>
      </w:r>
    </w:p>
    <w:p>
      <w:pPr>
        <w:spacing w:after="0" w:line="121"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In 2014, our board of directors, upon the recommendation of the compensation committee of the board of directors, adopted our 2014 Stock Option and Incentive Plan, or the 2014 Plan, which was subsequently approved by our stockholders. The 2014 Plan will become effective upon the completion of this offering. The 2014 Plan will replace the 2007 Equity Incentive Plan, or the 2007 Plan, as our board of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has determined not to make additional awards under that plan following the consummation of our initial public offering. Our 2014 Plan provides flexibility to our compensation committee to use various equity-based incentive awards as compensation tools to motivate our workforce.</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initially reserved shares of our common stock, or the Initial Limit, for the issuance of awards under the 2014 Plan. The 2014 Plan provides that the number of shares reserved and available for issuance under the plan will automatically increase each January 1, beginning on January 1, 2015, by %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shares we issue under the 2014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2014 Plan and 2007 Plan will be added back to the shares of common stock available for issuance under the 2014 Plan.</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Stock options and stock appreciation rights with respect to no more than shares of stock may be granted to any one individual in any one calendar year and the maximum “performance-based award” (as such term is used under Section 162(m) of the Code) payable to any one individual under the</w:t>
      </w:r>
    </w:p>
    <w:p>
      <w:pPr>
        <w:ind w:right="200"/>
        <w:spacing w:after="0" w:line="250" w:lineRule="auto"/>
        <w:rPr>
          <w:sz w:val="20"/>
          <w:szCs w:val="20"/>
          <w:color w:val="auto"/>
        </w:rPr>
      </w:pPr>
      <w:r>
        <w:rPr>
          <w:rFonts w:ascii="Times New Roman" w:cs="Times New Roman" w:eastAsia="Times New Roman" w:hAnsi="Times New Roman"/>
          <w:sz w:val="18"/>
          <w:szCs w:val="18"/>
          <w:color w:val="auto"/>
        </w:rPr>
        <w:t>2014 Plan is shares of stock or $ in the case of cash-based awards. The maximum aggregate number of shares that may be issued in the form of incentive stock options shall not exceed the Initial Limit cumulatively increased on January 1, 2014 and on each January 1 thereafter by the lesser of the</w:t>
      </w:r>
    </w:p>
    <w:p>
      <w:pPr>
        <w:spacing w:after="0" w:line="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Annual Increase for such year or</w:t>
      </w:r>
      <w:r>
        <w:rPr>
          <w:sz w:val="20"/>
          <w:szCs w:val="20"/>
          <w:color w:val="auto"/>
        </w:rPr>
        <w:tab/>
      </w:r>
      <w:r>
        <w:rPr>
          <w:rFonts w:ascii="Times New Roman" w:cs="Times New Roman" w:eastAsia="Times New Roman" w:hAnsi="Times New Roman"/>
          <w:sz w:val="18"/>
          <w:szCs w:val="18"/>
          <w:color w:val="auto"/>
        </w:rPr>
        <w:t>shares of common stock.</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2014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2014 Plan. Persons eligible to participate in the 2014 Plan will be those full or part-time officers, employees, non-employee directors and other key persons (including consultants) as selected from time to time by our compensation committee in its discretion.</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2014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we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2014 Plan. Unrestricted stock may be granted to participants in recognition of past services or other valid consideration and may be issued in lieu of cash compensation due to such participant.</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performance share awards to participants that entitle the recipient to receive shares of common stock upon the achievement of certain performance goals and such other conditions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our compensation committee shall determine. Our compensation committee may grant cash bonuses under the 2014 Plan to participants, subject to the achievement of certain performance goals.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compensation committee may grant awards of restricted stock, restricted stock units, performance shares or cash-based awards under the 2014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would be used with respect to any such awards include: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8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2014 Plan provides that in the case of, and subject to, the consummation of a “sale event” as defined in the 2014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all stock options and stock appreciation rights will automatically terminate. In the event of such termination, individuals holding options and stock appreciation rights will be permitted to exercise such options and stock appreciation rights prior to the sale event. In addition, in connection with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18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may amend or discontinue the 2014 Plan and our compensation committee may amend or cancel outstanding awards for purposes of satisfying changes in law or for any other lawful purpose, but no such action may adversely affect rights under an award without the holder’s consent. Certain amendments to the 2014 Plan require the approval of our stockholders.</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2014 Plan after the date that is 10 years from the date of stockholder approval. No awards under the 2014 Plan have been made prior to the date hereof.</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2007 Equity Incentive Plan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2007 Plan was approved by our board of directors and our stockholders on June 9, 2007 and was most recently amended in February 2014. As of March 31, 2014, we have authorized an aggregate of 25,838,427 shares of our common stock for the issuance of options and other equity awards under the 2007 Plan. This number is subject to adjustment in the event of a stock split, stock dividend or other change in our capitalization. Effective upon the closing of this offering, our board of directors has determined not to grant any further awards under our 2007 Plan. The shares we issue under the 2007 Plan are authorized but unissued shares or shares we reacquire. The shares of common stock underlying any awards that are forfeited, canceled, reacquired by us prior to vesting, satisfied without the issuance of stock or otherwise terminated (other than by exercise) under the 2007 Plan are currently added back to the shares of common stock available for issuance under the 2007 Plan. Upon the closing of this offering, such shares will be added to the shares of common stock available for issuance under the 2014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2007 Plan is administered by our compensation committee. The board of directors and the compensation committee have the authority to select the individuals to whom awards will be granted, to make any combination of awards to participants, to accelerate the exercisability or vesting of any award, to provide substitute awards and to determine the specific terms and conditions of each award.</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2007 Plan permits us to make grants of incentive stock options and non-qualified stock options, restricted stock awards, unrestricted stock awards and other stock-based awards such as restricted stock units to our officers, employees, directors, consultants and other key persons.</w:t>
      </w:r>
    </w:p>
    <w:p>
      <w:pPr>
        <w:spacing w:after="0" w:line="16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2007 Plan permits the granting of (1) options to purchase common stock intended to qualify as incentive stock options under Section 422 of the Code and (2) options that do not so qualify. The option exercise price of each option is determined by our board or directors or our compensation committee but may not be less than 100% of the fair market value of the common stock on the date of grant. In the case of an Incentive Stock Option granted to a participant who, at the time of grant of such option, owns stock representing more than 10% of the voting power of all classes of stock of the Company, then the exercise price may not be less than 110% of the fair market value of the common stock on the date of grant. The term of each option will be fixed by the board of directors or the compensation committee and may not exceed 10 years from the date of grant.</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2007 Plan provides that upon the occurrence of a change of control, awards may be assumed, substituted for new awards of a successor entity, or otherwise continued or terminated at the effective time of such sale event. We may make or provide for cash payment to holders of options equal to the difference between the per share cash consideration in the sale event and the exercise price to the holders of vested and exercisable options. We may make or provide for cash payment to holders of restricted stock and restricted stock unit awards in an amount equal to the product of the per share cash consideration and the number of shares subject to each such award.</w:t>
      </w:r>
    </w:p>
    <w:p>
      <w:pPr>
        <w:spacing w:after="0" w:line="184"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may amend, suspend or terminate the 2007 Plan at any time, subject to stockholder approval where such approval is required by applicable law. The board of directors may also amend, modify or terminate any outstanding award, provided that no amendment to an award may materially impair any of the rights of a participant under any awards previously granted without his or her written consent.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left="540" w:right="360" w:hanging="83"/>
        <w:spacing w:after="0" w:line="282" w:lineRule="auto"/>
        <w:rPr>
          <w:sz w:val="20"/>
          <w:szCs w:val="20"/>
          <w:color w:val="auto"/>
        </w:rPr>
      </w:pPr>
      <w:r>
        <w:rPr>
          <w:rFonts w:ascii="Times New Roman" w:cs="Times New Roman" w:eastAsia="Times New Roman" w:hAnsi="Times New Roman"/>
          <w:sz w:val="18"/>
          <w:szCs w:val="18"/>
          <w:color w:val="auto"/>
        </w:rPr>
        <w:t>In</w:t>
      </w:r>
      <w:r>
        <w:rPr>
          <w:sz w:val="20"/>
          <w:szCs w:val="20"/>
          <w:color w:val="auto"/>
        </w:rPr>
        <w:t xml:space="preserve"> </w:t>
      </w:r>
      <w:r>
        <w:rPr>
          <w:rFonts w:ascii="Times New Roman" w:cs="Times New Roman" w:eastAsia="Times New Roman" w:hAnsi="Times New Roman"/>
          <w:sz w:val="18"/>
          <w:szCs w:val="18"/>
          <w:color w:val="auto"/>
        </w:rPr>
        <w:t>, 2014 our board of directors adopted and our stockholders approved the ESPP. The ESPP authorizes the issuance of up to a total of shares of common stock to participating employees.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All employees who we have employed for at least 30 days and whose customary employment is for more than 20 hours a week are eligible to participate in the ESPP. Any employee who owns 5% or more of the voting power or value of our shares of common stock is not eligible to purchase shares under the ESPP.</w:t>
      </w:r>
    </w:p>
    <w:p>
      <w:pPr>
        <w:spacing w:after="0" w:line="176"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We will make one or more offerings each year to our employees to purchase shares under the ESPP. The first offering will begin on , 2014 and will end on , 2014. Subsequent offerings will commence at such time or times as our board of directors may determine, which we expect to be on each and will continue for six-month periods, referred to as offering periods. Each eligible employee may elect to participate in any offering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submitting an enrollment form at least 15 days before the relevant offering date.</w:t>
      </w:r>
    </w:p>
    <w:p>
      <w:pPr>
        <w:spacing w:after="0" w:line="20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Each employee who is a participant in the ESPP may purchase shares by authorizing payroll deductions of up to 15% of his or her base compensation during an offering period. Unless the participating employee has previously withdrawn from the offering, his or her accumulated payroll deductions will be used to purchase shares of common stock on the last business day of the offering period at a price equal to 85% of the fair market value of the ordinary shares</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the first business day or the last business day of the offering period, whichever is lower, provided that no more than shares of common stock may be purchased by any one employee during each offering period. Under applicable tax rules, an employee may purchase no more than $25,000 worth of ordinary shares, valued at the start of the purchase period, under the ESPP in any calendar year.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80"/>
          </w:cols>
          <w:pgMar w:left="240" w:top="455" w:right="2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ESPP may be terminated or amended by our board of directors at any time. An amendment that increases the number of shares of common stock that are authorized under the ESPP and certain other amendments require the approval of our stockholders.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 2014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which we refer to as corporate performance goals, as well as individual performance objectives.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revenue; expense levels; cash flow (including, but not limited to, operating cash flow and free cash flow); business development and financing milestones; earnings before interest, taxes, depreciation and amortization; net income (loss) (either before or after interest, taxes, depreciation and/or amortization); changes in the market price of our common stock; economic value added; sales; acquisitions or strategic transactions; operating income (loss); return on capital, assets, equity, or investment; shareholder returns; return on sales; gross or net profit levels; productivity; expense; margins; operating efficiency; customer satisfaction; working capital; earnings (loss) per share of our common stock; sales or market shares and total customers; and Adjusted EBITDA, any of which may be measured in absolute terms, as compared to any incremental increase, in terms of growth, or as compared to results of a peer group.</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a tax-qualified 401(k) retirement plan for eligible employees in the United States. Under our 401(k) plan, employees may elect to defer up to 100% of their eligible compensation subject to applicable annual limits set pursuant to the Code. We may provide a discretionary employee matching contribution under the 401(k) plan. Employees are 100% vested in their contributions to the 401(k) plan and any employer contributions vest over a four-year period. We intend for the 401(k) plan to qualify, depending on the employee’s election, under Section 401(a) of the Code so that contributions by employees, and income earned on those contributions, are not taxable to employees until withdrawn from the 401(k)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Benefits</w:t>
      </w:r>
    </w:p>
    <w:p>
      <w:pPr>
        <w:spacing w:after="0" w:line="12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change of control agreements with each of our named executive officers, pursuant to which, upon a change in control of our company, if the executive is terminated without cause or resigns for good reason within three months prior to or 12 months after a change in control of our company, each executive’s then-outstanding stock options and restricted stock awards will fully vest.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80"/>
          </w:cols>
          <w:pgMar w:left="240" w:top="455" w:right="2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our directors and officers in certain circumstances. See “Certain Relationships and Related Party Transactions— Limitation of Liability and Indemnification of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80"/>
          </w:cols>
          <w:pgMar w:left="24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director and executive compensation arrangements discussed above in the sections of this prospectus captioned “Management” and “Executive Compensation,” we have been a party to the following transactions since January 1, 2011,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 We also describe below certain transactions and series of similar transactions since January 1, 2011 with our directors, executive officers, holders of more than 5% of any class of our voting securities, or any member of the immediate family of or any entities affiliated with any of the foregoing persons to which we are party.</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plan to adopt a written policy, effective upon the completion of this offering, which provides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disinterested members of our board of directors in the event that it is inappropriate for our audit committee to review such transaction due to a conflict of interest. Pursuant to such policy,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below were entered into prior to the adoption of this policy.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Preferred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of Series E Preferred Stock</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October and November 2012, we issued and sold an aggregate of 6,267,336 shares of our Series E preferred stock at a per share price of $5.6162, for an aggregate purchase price of approximately $35 million. We believe that the terms obtained and consideration received in connection with the Series E financing are comparable to terms available and the amounts we would have received in an arm’s length transaction.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table below summarizes purchases of shares of our Series E preferred stock by our directors, executive officers, holders of more than 5% of any class of our voting securities, or any member of the immediate family of or any entities affiliated with any of the foregoing persons. For more information, see “Management—Compensation Committee Interlocks and Insider Participation.” Each outstanding share of our Series E preferred stock will be converted into one share of our common stock upon the closing of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E</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120" w:type="dxa"/>
            <w:vAlign w:val="bottom"/>
            <w:gridSpan w:val="2"/>
            <w:vMerge w:val="continue"/>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affiliated with Sequoia Capital</w:t>
            </w:r>
            <w:r>
              <w:rPr>
                <w:rFonts w:ascii="Times New Roman" w:cs="Times New Roman" w:eastAsia="Times New Roman" w:hAnsi="Times New Roman"/>
                <w:sz w:val="15"/>
                <w:szCs w:val="15"/>
                <w:color w:val="auto"/>
              </w:rPr>
              <w:t>(1)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740,411.73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Matrix Partners</w:t>
            </w:r>
            <w:r>
              <w:rPr>
                <w:rFonts w:ascii="Times New Roman" w:cs="Times New Roman" w:eastAsia="Times New Roman" w:hAnsi="Times New Roman"/>
                <w:sz w:val="15"/>
                <w:szCs w:val="15"/>
                <w:color w:val="auto"/>
              </w:rPr>
              <w:t>(2)</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219,623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1,233,446.69</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General Catalyst Partners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1,945,783.04</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III, LP</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87,188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489,665.25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Charles River Ventures</w:t>
            </w:r>
            <w:r>
              <w:rPr>
                <w:rFonts w:ascii="Times New Roman" w:cs="Times New Roman" w:eastAsia="Times New Roman" w:hAnsi="Times New Roman"/>
                <w:sz w:val="15"/>
                <w:szCs w:val="15"/>
                <w:color w:val="auto"/>
              </w:rPr>
              <w:t>(4)</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360,492.65</w:t>
            </w:r>
          </w:p>
        </w:tc>
        <w:tc>
          <w:tcPr>
            <w:tcW w:w="0" w:type="dxa"/>
            <w:vAlign w:val="bottom"/>
          </w:tcPr>
          <w:p>
            <w:pPr>
              <w:spacing w:after="0"/>
              <w:rPr>
                <w:sz w:val="1"/>
                <w:szCs w:val="1"/>
                <w:color w:val="auto"/>
              </w:rPr>
            </w:pP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Simon</w:t>
            </w:r>
            <w:r>
              <w:rPr>
                <w:rFonts w:ascii="Times New Roman" w:cs="Times New Roman" w:eastAsia="Times New Roman" w:hAnsi="Times New Roman"/>
                <w:sz w:val="15"/>
                <w:szCs w:val="15"/>
                <w:color w:val="auto"/>
              </w:rPr>
              <w:t>(5)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249,999.53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20" w:hanging="452"/>
        <w:spacing w:after="0" w:line="28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126,272 shares held by Sequoia Capital U.S. Growth Fund IV, L.P. and (ii) 5,563 shares held by Sequoia Capital USGF Principals Fund IV, L.P.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61"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219,139 shares held by Matrix Partners VIII, L.P. and (ii) 484 shares of common stock held by Weston &amp; Co. VIII LLC. David Skok, a general partner of Matrix Partners is a member of our board of directors and our compensation committee.</w:t>
      </w:r>
    </w:p>
    <w:p>
      <w:pPr>
        <w:ind w:left="460" w:right="540" w:hanging="452"/>
        <w:spacing w:after="0" w:line="250"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339,375 shares held by General Catalyst Group V, L.P. and (ii) 7,084 shares held by GC Entrepreneurs Fund V, L.P. Larry Bohn, a managing director at General Catalyst Partners, is a member of our board of directors and our compensation committee.</w:t>
      </w: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63,490 shares held by Charles River Partnership XIV, LP and (ii) 690 shares held by Charles River Friends XIV-A, LP.</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Simon is a member of our board of directors and our compensation committee.</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Series D-1 Preferred Stock</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June 15, 2011, we issued an aggregate of 3,737,028 shares of our Series D-1 preferred stock to entities affiliated with Charles River Ventures. We believe that the terms obtained and consideration received in connection with the issuance of our Series D-1 preferred stock are comparable to terms available and the amounts we would have received in an arm’s length transaction.</w:t>
      </w:r>
    </w:p>
    <w:p>
      <w:pPr>
        <w:spacing w:after="0" w:line="176"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table below summarizes acquisitions of shares of our Series D-1 preferred stock by our directors, executive officers, holders of more than 5% of any class of our voting securities, or any member of the immediate family of or any entities affiliated with any of the foregoing persons. Each outstanding share of our Series D-1 preferred stock will be converted into one share of our common stock upon the closing of this offering.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D-1</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000" w:type="dxa"/>
            <w:vAlign w:val="bottom"/>
            <w:gridSpan w:val="2"/>
            <w:vMerge w:val="continue"/>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affiliated with Charles River Ventures</w:t>
            </w:r>
            <w:r>
              <w:rPr>
                <w:rFonts w:ascii="Times New Roman" w:cs="Times New Roman" w:eastAsia="Times New Roman" w:hAnsi="Times New Roman"/>
                <w:sz w:val="15"/>
                <w:szCs w:val="15"/>
                <w:color w:val="auto"/>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3,737,028</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$ 9,865,753.92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3,696,377 shares held by Charles River Partnership XIV, LP and (ii) 40,651 shares held by Charles River Friends XIV-A, LP.</w:t>
      </w:r>
    </w:p>
    <w:p>
      <w:pPr>
        <w:spacing w:after="0" w:line="3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of Series D Preferred Stock</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March 2011, we issued and sold an aggregate of 7,634,497 shares of our Series D preferred stock at a per share price of $2.816165, for an aggregate purchase price of approximately $21.5 million. We believe that the terms obtained and consideration received in connection with the Series D financing are comparable to terms available and the amounts we would have received in an arm’s length transaction.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table below summarizes purchases of shares of our Series D preferred stock by our directors, executive officers, holders of more than 5% of any class of our voting securities, or any member of the immediate family of or any entities affiliated with any of the foregoing persons. For more information, see “—Compensation Committee Interlocks and Insider Participation.” Each outstanding share of our Series D preferred stock will be converted into one share of our common stock upon the closing of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8200" w:type="dxa"/>
            <w:vAlign w:val="bottom"/>
            <w:vMerge w:val="restart"/>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8200" w:type="dxa"/>
            <w:vAlign w:val="bottom"/>
            <w:vMerge w:val="continue"/>
          </w:tcPr>
          <w:p>
            <w:pPr>
              <w:spacing w:after="0"/>
              <w:rPr>
                <w:sz w:val="15"/>
                <w:szCs w:val="15"/>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Sequoia Capital</w:t>
            </w:r>
            <w:r>
              <w:rPr>
                <w:rFonts w:ascii="Times New Roman" w:cs="Times New Roman" w:eastAsia="Times New Roman" w:hAnsi="Times New Roman"/>
                <w:sz w:val="15"/>
                <w:szCs w:val="15"/>
                <w:color w:val="auto"/>
              </w:rPr>
              <w:t>(1)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4,814,198</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13,557,575.92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Matrix Partners</w:t>
            </w:r>
            <w:r>
              <w:rPr>
                <w:rFonts w:ascii="Times New Roman" w:cs="Times New Roman" w:eastAsia="Times New Roman" w:hAnsi="Times New Roman"/>
                <w:sz w:val="15"/>
                <w:szCs w:val="15"/>
                <w:color w:val="auto"/>
              </w:rPr>
              <w:t>(2)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710,186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2,000,000.96</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General Catalyst Partners</w:t>
            </w:r>
            <w:r>
              <w:rPr>
                <w:rFonts w:ascii="Times New Roman" w:cs="Times New Roman" w:eastAsia="Times New Roman" w:hAnsi="Times New Roman"/>
                <w:sz w:val="15"/>
                <w:szCs w:val="15"/>
                <w:color w:val="auto"/>
              </w:rPr>
              <w:t>(3)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710,186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2,000,000.96</w:t>
            </w:r>
          </w:p>
        </w:tc>
        <w:tc>
          <w:tcPr>
            <w:tcW w:w="0" w:type="dxa"/>
            <w:vAlign w:val="bottom"/>
          </w:tcPr>
          <w:p>
            <w:pPr>
              <w:spacing w:after="0"/>
              <w:rPr>
                <w:sz w:val="1"/>
                <w:szCs w:val="1"/>
                <w:color w:val="auto"/>
              </w:rPr>
            </w:pPr>
          </w:p>
        </w:tc>
      </w:t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III, LP</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355,093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24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4,611,039 shares held by Sequoia Capital U.S. Growth Fund IV, L.P. and (ii) 203,159 shares held by Sequoia Capital USGF Principals Fund IV, L.P.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708,623 shares held by Matrix Partners VIII, L.P. and (ii) 1,563 shares of common stock held by Weston &amp; Co. VIII LLC. David Skok, a general partner of Matrix Partners is a member of our board of directors and our compensation committee.</w:t>
      </w:r>
    </w:p>
    <w:p>
      <w:pPr>
        <w:ind w:left="460" w:right="40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695,665 shares held by General Catalyst Group V, L.P. and (ii) 14,521 shares held by GC Entrepreneurs Fund V, L.P.. Larry Bohn, a managing director at General Catalyst Partners, is a member of our board of directors and our compensation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Securities by Employees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our Series D financing in March 2011, certain of our investors purchased an aggregate of 1,972,739 shares of our common stock, at a price per share of $2.53, and an aggregate of 2,229,808 shares of our Series A preferred stock, at a price per share of $2.816165, for aggregate consideration of approximately $11,270,537.05, from certain of our employees and investors, including 1,084,235 shares of our common stock from Brian Halligan, our Chief Executive Officer and 1,165,385 shares of our Series A preferred stock and 250,895 shares of our common stock from Dharmesh Shah, our Chief Technology Officer. Certain of these purchasers were holders of more than 5% of our outstanding capital stock. Our participation in these transactions was limited to the approval of these transactions by our board of directors and waivers of our rights of first refusal with respect to the shares being sold.</w:t>
      </w:r>
    </w:p>
    <w:p>
      <w:pPr>
        <w:spacing w:after="0" w:line="188"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shares of our Series A preferred stock and common stock purchased by holders of more than 5% of our capital stock, in connection with the sales of securities by our employees. The terms of these purchases were the same as those made available to unaffiliated purchasers.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360" w:type="dxa"/>
            <w:vAlign w:val="bottom"/>
            <w:gridSpan w:val="2"/>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340" w:type="dxa"/>
            <w:vAlign w:val="bottom"/>
            <w:gridSpan w:val="2"/>
            <w:vMerge w:val="restart"/>
          </w:tcPr>
          <w:p>
            <w:pPr>
              <w:jc w:val="center"/>
              <w:ind w:right="48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1360" w:type="dxa"/>
            <w:vAlign w:val="bottom"/>
            <w:gridSpan w:val="2"/>
          </w:tcPr>
          <w:p>
            <w:pPr>
              <w:jc w:val="center"/>
              <w:ind w:right="483"/>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3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80" w:type="dxa"/>
            <w:vAlign w:val="bottom"/>
            <w:gridSpan w:val="2"/>
            <w:vMerge w:val="continue"/>
          </w:tcPr>
          <w:p>
            <w:pPr>
              <w:spacing w:after="0"/>
              <w:rPr>
                <w:sz w:val="15"/>
                <w:szCs w:val="15"/>
                <w:color w:val="auto"/>
              </w:rPr>
            </w:pPr>
          </w:p>
        </w:tc>
        <w:tc>
          <w:tcPr>
            <w:tcW w:w="1360" w:type="dxa"/>
            <w:vAlign w:val="bottom"/>
            <w:gridSpan w:val="2"/>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48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affiliated with Sequoia Capital</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c>
          <w:tcPr>
            <w:tcW w:w="580" w:type="dxa"/>
            <w:vAlign w:val="bottom"/>
            <w:tcBorders>
              <w:top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91"/>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1,546,409</w:t>
            </w:r>
          </w:p>
        </w:tc>
        <w:tc>
          <w:tcPr>
            <w:tcW w:w="560" w:type="dxa"/>
            <w:vAlign w:val="bottom"/>
            <w:tcBorders>
              <w:top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w w:val="91"/>
              </w:rPr>
              <w:t>(2)</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$7,614,900.09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40" w:hanging="452"/>
        <w:spacing w:after="0" w:line="261"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1,259,245 shares purchased by Sequoia Capital U.S. Growth Fund IV, L.P. and (ii) 55,481 shares purchased by Sequoia Capital USGF Principals Fund IV, L.P.</w:t>
      </w:r>
    </w:p>
    <w:p>
      <w:pPr>
        <w:ind w:left="460" w:right="240" w:hanging="452"/>
        <w:spacing w:after="0" w:line="261"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1,481,151 shares purchased by Sequoia Capital U.S. Growth Fund IV, L.P. and (ii) 65,258 shares purchased by Sequoia Capital USGF Principals Fund IV, L.P.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entered into an investor rights agreement with certain of our stockholders, including entities with which certain of our directors are affiliated, and certain other stockholders. The investor rights agreement provides certain holders of our capital stock a right of purchase in respect of certain issuances of our securities, including in connection with this offering, and provides certain registration rights with respect to certain shares of stock held by them. Investment funds affiliated with Matrix Partners and General Catalyst Partners are parties to such investor rights agreement. Messrs. Skok and Bohn are general partners of Matrix Partners and General Catalyst Partners, respectively, and are directors of ours. Messrs. Shah, Simon, O’Neill and Volpe, who are directors, officers and/or key employees of ours, are also parties to such investor rights agreement. For more information regarding the registration rights granted under this agreement, see the section of this prospectus captioned “Description of Capital Stock—Registration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upon the closing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2" w:lineRule="exact"/>
        <w:rPr>
          <w:sz w:val="20"/>
          <w:szCs w:val="20"/>
          <w:color w:val="auto"/>
        </w:rPr>
      </w:pPr>
    </w:p>
    <w:p>
      <w:pPr>
        <w:ind w:left="5580" w:right="5400" w:hanging="5126"/>
        <w:spacing w:after="0" w:line="495"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their duty of loyalty to our company or our stockholders; 108</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prior to the closing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Further, prior to the closing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8"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directors and employees for certain liabilities arising under the Securities Act or otherwise.</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Our Executive Officers and Directors and Affiliated Entities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our executive officers and certain of our directors. See the section of this prospectus captioned “Executive Compensation—Outstanding Equity Awards at Fiscal Year-End” for a description of these stock options and RSUs.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Following the closing of this offering, the audit committee of our board of directors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Our audit committee charter will provide that the audit committee shall review and approve or disapprove any related party transactions. As of the date of this prospectus, we have not adopted any formal standards, policies or procedures governing the review and approval of related party transactions, but we expect that our audit committee will do so in the future.</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March 31, 2014 and as adjusted to reflect the shares of common stock to be issued and sold in the offering assuming no exercise of the underwriters’ over-allotment option, by:</w:t>
      </w:r>
    </w:p>
    <w:p>
      <w:pPr>
        <w:spacing w:after="0" w:line="67"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common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SEC rules. The information does not necessarily indicate beneficial ownership for any other purpose. Under these rules, the number of shares of common stock deemed outstanding includes shares issuable upon exercise of options and warrants held by the respective person or group which may be exercised or converted within 60 days after March 31, 2014. For purposes of calculating each person’s or group’s percentage ownership, stock options and warrants exercisable within 60 days after March 31, 2014 are included for that person or group but not the stock options or warrants of any other person or group. Certain options to purchase shares of our common stock included in the table below are early exercisable, and to the extent such shares are unvested as of a given date, such shares will remain subject to a right of repurchase held by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percentage ownership is based on 75,600,064 shares of common stock outstanding as of March 31, 2014, assuming the conversion of all</w:t>
      </w:r>
    </w:p>
    <w:p>
      <w:pPr>
        <w:spacing w:after="0" w:line="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outstanding shares of our preferred stock as of March 31, 2014 into common stock. For purposes of the table below, we have assumed that shares of common stock will be outstanding upon the closing of this offering, based upon an assumed initial public offering price of $ per share.</w:t>
      </w:r>
    </w:p>
    <w:p>
      <w:pPr>
        <w:spacing w:after="0" w:line="180"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Unless otherwise indicated and subject to applicable community property laws, to our knowledge, each stockholder named in the following table possesses sole voting and investment power over the shares listed. Unless otherwise noted below, the address of each person listed on the table is c/o HubSpot, Inc., 25 First Street, 2nd Floor, Cambridge, Massachusetts 02141.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8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3"/>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84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4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General Catalyst Partners</w:t>
            </w:r>
            <w:r>
              <w:rPr>
                <w:rFonts w:ascii="Times New Roman" w:cs="Times New Roman" w:eastAsia="Times New Roman" w:hAnsi="Times New Roman"/>
                <w:sz w:val="15"/>
                <w:szCs w:val="15"/>
                <w:color w:val="auto"/>
              </w:rPr>
              <w:t>(1)</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20,596,000</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20,596,000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Matrix Partners</w:t>
            </w:r>
            <w:r>
              <w:rPr>
                <w:rFonts w:ascii="Times New Roman" w:cs="Times New Roman" w:eastAsia="Times New Roman" w:hAnsi="Times New Roman"/>
                <w:sz w:val="15"/>
                <w:szCs w:val="15"/>
                <w:color w:val="auto"/>
              </w:rPr>
              <w:t>(2)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13,009,778</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13,009,778</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III, LP</w:t>
            </w:r>
            <w:r>
              <w:rPr>
                <w:rFonts w:ascii="Times New Roman" w:cs="Times New Roman" w:eastAsia="Times New Roman" w:hAnsi="Times New Roman"/>
                <w:sz w:val="15"/>
                <w:szCs w:val="15"/>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5,163,230</w:t>
            </w:r>
          </w:p>
        </w:tc>
        <w:tc>
          <w:tcPr>
            <w:tcW w:w="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5,163,230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Sequoia Capital</w:t>
            </w:r>
            <w:r>
              <w:rPr>
                <w:rFonts w:ascii="Times New Roman" w:cs="Times New Roman" w:eastAsia="Times New Roman" w:hAnsi="Times New Roman"/>
                <w:sz w:val="15"/>
                <w:szCs w:val="15"/>
                <w:color w:val="auto"/>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7,807,168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7,807,168</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Charles River Ventures</w:t>
            </w:r>
            <w:r>
              <w:rPr>
                <w:rFonts w:ascii="Times New Roman" w:cs="Times New Roman" w:eastAsia="Times New Roman" w:hAnsi="Times New Roman"/>
                <w:sz w:val="15"/>
                <w:szCs w:val="15"/>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3,810,740</w:t>
            </w:r>
          </w:p>
        </w:tc>
        <w:tc>
          <w:tcPr>
            <w:tcW w:w="6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3,810,740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600" w:type="dxa"/>
            <w:vAlign w:val="bottom"/>
          </w:tcPr>
          <w:p>
            <w:pPr>
              <w:spacing w:after="0"/>
              <w:rPr>
                <w:sz w:val="7"/>
                <w:szCs w:val="7"/>
                <w:color w:val="auto"/>
              </w:rPr>
            </w:pPr>
          </w:p>
        </w:tc>
        <w:tc>
          <w:tcPr>
            <w:tcW w:w="4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Halligan</w:t>
            </w:r>
            <w:r>
              <w:rPr>
                <w:rFonts w:ascii="Times New Roman" w:cs="Times New Roman" w:eastAsia="Times New Roman" w:hAnsi="Times New Roman"/>
                <w:sz w:val="15"/>
                <w:szCs w:val="15"/>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3,683,624</w:t>
            </w:r>
          </w:p>
        </w:tc>
        <w:tc>
          <w:tcPr>
            <w:tcW w:w="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3,683,624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Kinzer</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Sherman</w:t>
            </w:r>
            <w:r>
              <w:rPr>
                <w:rFonts w:ascii="Times New Roman" w:cs="Times New Roman" w:eastAsia="Times New Roman" w:hAnsi="Times New Roman"/>
                <w:sz w:val="15"/>
                <w:szCs w:val="15"/>
                <w:color w:val="auto"/>
              </w:rPr>
              <w:t>(7)</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888,570</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888,570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Bohn</w:t>
            </w:r>
            <w:r>
              <w:rPr>
                <w:rFonts w:ascii="Times New Roman" w:cs="Times New Roman" w:eastAsia="Times New Roman" w:hAnsi="Times New Roman"/>
                <w:sz w:val="15"/>
                <w:szCs w:val="15"/>
                <w:color w:val="auto"/>
              </w:rPr>
              <w:t>(1)</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20,596,000</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20,596,000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 Gill</w:t>
            </w:r>
            <w:r>
              <w:rPr>
                <w:rFonts w:ascii="Times New Roman" w:cs="Times New Roman" w:eastAsia="Times New Roman" w:hAnsi="Times New Roman"/>
                <w:sz w:val="15"/>
                <w:szCs w:val="15"/>
                <w:color w:val="auto"/>
              </w:rPr>
              <w:t>(8)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190,000</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Lorrie Norrington</w:t>
            </w:r>
            <w:r>
              <w:rPr>
                <w:rFonts w:ascii="Times New Roman" w:cs="Times New Roman" w:eastAsia="Times New Roman" w:hAnsi="Times New Roman"/>
                <w:sz w:val="15"/>
                <w:szCs w:val="15"/>
                <w:color w:val="auto"/>
              </w:rPr>
              <w:t>(9)</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190,000</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Simon</w:t>
            </w:r>
            <w:r>
              <w:rPr>
                <w:rFonts w:ascii="Times New Roman" w:cs="Times New Roman" w:eastAsia="Times New Roman" w:hAnsi="Times New Roman"/>
                <w:sz w:val="15"/>
                <w:szCs w:val="15"/>
                <w:color w:val="auto"/>
              </w:rPr>
              <w:t>(10)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234,514</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234,514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Dharmesh Shah</w:t>
            </w:r>
            <w:r>
              <w:rPr>
                <w:rFonts w:ascii="Times New Roman" w:cs="Times New Roman" w:eastAsia="Times New Roman" w:hAnsi="Times New Roman"/>
                <w:sz w:val="15"/>
                <w:szCs w:val="15"/>
                <w:color w:val="auto"/>
              </w:rPr>
              <w:t>(11)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6,766,173</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6,766,173</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Skok</w:t>
            </w:r>
            <w:r>
              <w:rPr>
                <w:rFonts w:ascii="Times New Roman" w:cs="Times New Roman" w:eastAsia="Times New Roman" w:hAnsi="Times New Roman"/>
                <w:sz w:val="15"/>
                <w:szCs w:val="15"/>
                <w:color w:val="auto"/>
              </w:rPr>
              <w:t>(12)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13,016,799</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13,016,799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Stacey Bishop</w:t>
            </w:r>
            <w:r>
              <w:rPr>
                <w:rFonts w:ascii="Times New Roman" w:cs="Times New Roman" w:eastAsia="Times New Roman" w:hAnsi="Times New Roman"/>
                <w:sz w:val="15"/>
                <w:szCs w:val="15"/>
                <w:color w:val="auto"/>
              </w:rPr>
              <w:t>(3)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5,163,230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5,163,230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 persons)</w:t>
            </w:r>
            <w:r>
              <w:rPr>
                <w:rFonts w:ascii="Times New Roman" w:cs="Times New Roman" w:eastAsia="Times New Roman" w:hAnsi="Times New Roman"/>
                <w:sz w:val="15"/>
                <w:szCs w:val="15"/>
                <w:color w:val="auto"/>
              </w:rPr>
              <w:t>(13)</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50,935,702</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50,935,702</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52"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77,348 shares of common stock held by General Catalyst Group V, L.P., or GCG V; (ii) 1,614 shares of common stock held by GC Entrepreneurs Fund V, L.P., or GCEF V; (iii) 9,263,054 shares of common stock issuable upon conversion of shares of Series A preferred stock held by GCG V; (iv) 193,353 shares of common stock issuable upon conversion of shares of Series A preferred stock held by GCEF V; (v) 5,043,404 shares of common stock issuable upon conversion of shares of Series B preferred stock held by GCG V; (vi) 105,275 shares of common stock issuable upon conversion of shares of Series B preferred stock held by GCEF V; (vii) 4,756,031 shares of common stock issuable upon conversion of shares of Series C preferred stock held by GCG V; (viii) 99,276 shares of common stock issuable upon conversion of shares of Series C preferred stock held by GCEF V; (ix) 695,665 shares of common stock issuable upon conversion of shares of Series D preferred stock held by GCG V; (x) 14,521 shares of common stock issuable upon conversion of shares of Series D preferred stock held by GCEF V; (xi) 339,375 shares of common stock issuable upon conversion of shares of Series E preferred stock held by GCG V; and (xii) 7,084 shares of common stock issuable upon conversion of shares of Series E preferred stock held by GCEF V. General Catalyst Partners V, L.P., or GCP V, as the sole general partner of GCG V and GCEF V, and General Catalyst GP V, LLC, or GCGP V, as the sole general partner of GCP V, may be deemed to share voting and dispositive power over the shares held of record by GCG V and GCEF V. Each of David Fialkow, David Orfao and Joel Cutler, who are Managing Directors of GCGP V, may be deemed to share voting and dispositive power over the shares held of record by GCG V and GCEF V. The address for Mr. Bohn and General Catalyst Partners is 20 University Road, 4th Floor, Cambridge, MA 02138.</w:t>
      </w:r>
    </w:p>
    <w:p>
      <w:pPr>
        <w:ind w:left="460" w:hanging="452"/>
        <w:spacing w:after="0" w:line="250"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32,514 shares of common stock held by Matrix Partners VIII, L.P., or Matrix VIII; (ii) 9,043,189 shares of common stock issuable upon conversion of shares of Series B preferred stock held by Matrix VIII; (iii) 3,006,313 shares of common stock issuable upon conversion of shares of Series C preferred stock held by Matrix VIII; (iv) 708,623 shares of common stock issuable upon conversion of shares of Series D preferred stock held by Matrix VIII; and (v) 219,139 shares of common stock issuable upon conversion of shares of Series E preferred stock held by Matrix VIII. Mr. Skok, a member of our board of directors, is a Managing Member of Matrix VIII U.S. Management Co., L.L.C. Matrix VIII U.S. Management Co., L.L.C. is the sole general partner of Matrix VIII, and has sole voting and dispositive power with respect to the shares held by Matrix VIII. Mr. Skok, by virtue of his management position in Matrix VIII US Management Co., L.L.C., has sole voting and dispositive power with respect to the shares held by Matrix VIII and beneficially owned by Matrix VIII U.S. Management Co., L.L.C. The address for each of Mr. Skok, Matrix Partners VIII, L.P. and Matrix VIII US Management Co., L.L.C. is 101 Main Street, 17th Floor, Cambridge, MA 02142.</w:t>
      </w:r>
    </w:p>
    <w:p>
      <w:pPr>
        <w:spacing w:after="0" w:line="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4,720,949 shares of common stock issuable upon conversion of shares of Series C preferred stock held by Scale Venture Partners III, LP;</w:t>
      </w:r>
    </w:p>
    <w:p>
      <w:pPr>
        <w:spacing w:after="0" w:line="20" w:lineRule="exact"/>
        <w:rPr>
          <w:rFonts w:ascii="Times New Roman" w:cs="Times New Roman" w:eastAsia="Times New Roman" w:hAnsi="Times New Roman"/>
          <w:sz w:val="17"/>
          <w:szCs w:val="17"/>
          <w:color w:val="auto"/>
        </w:rPr>
      </w:pPr>
    </w:p>
    <w:p>
      <w:pPr>
        <w:ind w:left="720" w:hanging="266"/>
        <w:spacing w:after="0"/>
        <w:tabs>
          <w:tab w:leader="none" w:pos="7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355,093 shares of common stock issuable upon conversion of shares of Series D preferred stock held by Scale Venture Partners III, LP; and</w:t>
      </w:r>
    </w:p>
    <w:p>
      <w:pPr>
        <w:spacing w:after="0" w:line="9" w:lineRule="exact"/>
        <w:rPr>
          <w:rFonts w:ascii="Times New Roman" w:cs="Times New Roman" w:eastAsia="Times New Roman" w:hAnsi="Times New Roman"/>
          <w:sz w:val="18"/>
          <w:szCs w:val="18"/>
          <w:color w:val="auto"/>
        </w:rPr>
      </w:pPr>
    </w:p>
    <w:p>
      <w:pPr>
        <w:ind w:left="460" w:hanging="6"/>
        <w:spacing w:after="0" w:line="250" w:lineRule="auto"/>
        <w:tabs>
          <w:tab w:leader="none" w:pos="77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87,188 shares of common stock issuable upon conversion of shares of Series E preferred stock held by Scale Venture Partners III, LP. Stacey Bishop, one of our directors, Kate Mitchell, Robert Theis and Rory T. O’Driscoll are the managing members of Scale Venture Management III, LLC, the ultimate general partner of Scale Venture Partners III, L.P., and share voting and investment authority over the shares held by Scale Venture Partners III, L.P. The address for Ms. Bishop and Scale Venture Partners III, L.P. is 950 Tower Lane, Suite 700, Foster City, California 94404.</w:t>
      </w:r>
    </w:p>
    <w:p>
      <w:pPr>
        <w:spacing w:after="0" w:line="1" w:lineRule="exact"/>
        <w:rPr>
          <w:rFonts w:ascii="Times New Roman" w:cs="Times New Roman" w:eastAsia="Times New Roman" w:hAnsi="Times New Roman"/>
          <w:sz w:val="18"/>
          <w:szCs w:val="18"/>
          <w:color w:val="auto"/>
        </w:rPr>
      </w:pPr>
    </w:p>
    <w:p>
      <w:pPr>
        <w:ind w:left="460" w:right="140" w:hanging="452"/>
        <w:spacing w:after="0" w:line="265" w:lineRule="auto"/>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1,481,151 shares of common stock held by Sequoia Capital U.S. Growth Fund IV, or Sequoia Growth; (ii) 65,258 shares of common stock held by Sequoia Capital USGF Principals Fund IV, or Sequoia Principals; (iii) 1,259,245 shares of common stock issuable upon conversion of shares of Series A preferred stock held by Sequoia Growth; (iv) 55,481 shares of common stock issuable upon conversion of shares of Series A preferred stock held by Sequoia Principals; (v) 4,611,039 shares of common stock issuable upon conversion of shares of Series D preferred stock held by Sequoia Growth; (vi) 203,159 shares of common stock issuable upon conversion of shares of Series D preferred stock held by Sequoia Principals;</w:t>
      </w:r>
    </w:p>
    <w:p>
      <w:pPr>
        <w:spacing w:after="0" w:line="1" w:lineRule="exact"/>
        <w:rPr>
          <w:rFonts w:ascii="Times New Roman" w:cs="Times New Roman" w:eastAsia="Times New Roman" w:hAnsi="Times New Roman"/>
          <w:sz w:val="17"/>
          <w:szCs w:val="17"/>
          <w:color w:val="auto"/>
        </w:rPr>
      </w:pPr>
    </w:p>
    <w:p>
      <w:pPr>
        <w:ind w:left="460" w:hanging="6"/>
        <w:spacing w:after="0" w:line="255" w:lineRule="auto"/>
        <w:tabs>
          <w:tab w:leader="none" w:pos="81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126,272 shares of common stock issuable upon conversion of shares of Series E preferred stock held by Sequoia Growth; and (viii) 5,563 shares of common stock issuable upon conversion of shares of Series E preferred stock held by Sequoia Principals. SCGF IV Management, L.P. is the general partner of Sequoia Growth and Sequoia Principals. Each of Michael Moritz, Douglas Leone, Roelof Botha, Scott Carter,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7" w:lineRule="auto"/>
        <w:rPr>
          <w:sz w:val="20"/>
          <w:szCs w:val="20"/>
          <w:color w:val="auto"/>
        </w:rPr>
      </w:pPr>
      <w:r>
        <w:rPr>
          <w:rFonts w:ascii="Times New Roman" w:cs="Times New Roman" w:eastAsia="Times New Roman" w:hAnsi="Times New Roman"/>
          <w:sz w:val="18"/>
          <w:szCs w:val="18"/>
          <w:color w:val="auto"/>
        </w:rPr>
        <w:t>Michael Goguen and James Goetz is a Managing Member of SCGF IV Management, L.P. and may be deemed to share voting and investment power over the shares held by Sequoia Growth and Sequoia Principals. The address for the entities affiliated with Sequoia Capital is 3000 Sand Hill Road, 4-250, Menlo Park, CA 94025.</w:t>
      </w:r>
    </w:p>
    <w:p>
      <w:pPr>
        <w:spacing w:after="0" w:line="2" w:lineRule="exact"/>
        <w:rPr>
          <w:sz w:val="20"/>
          <w:szCs w:val="20"/>
          <w:color w:val="auto"/>
        </w:rPr>
      </w:pPr>
    </w:p>
    <w:p>
      <w:pPr>
        <w:ind w:left="460" w:right="2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9,420 shares of common stock held by Charles River Partnership XIV, LP, or Charles River XIV; (ii) 104 shares of common stock held by Charles River Friends XIV-A, LP, or Charles River XIV-A; (iii) 3,696,377 shares of common stock issuable upon conversion of shares of Series D-1 preferred stock held by Charles River XIV; (iv) 40,651 shares of common stock issuable upon conversion of shares of Series D-1 preferred stock held by Charles River XIV-A; (v) 63,490 shares of common stock issuable upon conversion of shares of Series E preferred stock held by Charles River XIV; and (vi) 698 shares of common stock issuable upon conversion of shares of Series E preferred stock held by Charles River XIV-A. Charles River XIV GP, LP is the General Partner of Charles River XIV, and Charles River XIV GP, LLC is the General Partner of both Charles River XIV GP, LP and Charles River XIV-A. The Managing Members of Charles River XIV GP, LLC are Izhar Armony, Jon Auerbach, Bruce I. Sachs, William P. Tai, George Zachary, Saar Gur and Devdutt Yellurkar, all of whom may be deemed to share voting and dispositive power with respect to such shares. The address of the entities affiliated with Charles River Ventures is One Broadway, 15th Floor, Cambridge, Massachusetts 02142.</w:t>
      </w:r>
    </w:p>
    <w:p>
      <w:pPr>
        <w:spacing w:after="0" w:line="4" w:lineRule="exact"/>
        <w:rPr>
          <w:rFonts w:ascii="Times New Roman" w:cs="Times New Roman" w:eastAsia="Times New Roman" w:hAnsi="Times New Roman"/>
          <w:sz w:val="18"/>
          <w:szCs w:val="18"/>
          <w:color w:val="auto"/>
        </w:rPr>
      </w:pPr>
    </w:p>
    <w:p>
      <w:pPr>
        <w:ind w:left="460" w:right="84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2,915,765 shares held directly by Mr. Halligan and (ii) 767,859 shares issuable to Mr. Halligan upon exercise of stock options exercisable within 60 days after March 31, 2014.</w:t>
      </w:r>
    </w:p>
    <w:p>
      <w:pPr>
        <w:ind w:left="460" w:right="8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127,154 shares held directly by Mr. Sherman and (ii) 761,416 shares issuable to Mr. Sherman upon exercise of stock options exercisable within 60 days after March 31, 2014.</w:t>
      </w: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190,000 shares issuable to Mr. Gill upon exercise of stock options exercisable within 60 days after March 31,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190,000 shares issuable to Ms. Norrington upon exercise of stock options exercisable within 60 days after March 31, 2014.</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44,514 shares held directly by Mr. Simon and (ii) 190,000 shares issuable to Mr. Simon upon exercise of stock options exercisable within 60 days after March 31, 2014.</w:t>
      </w:r>
    </w:p>
    <w:p>
      <w:pPr>
        <w:ind w:left="460" w:right="30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6,314,979 shares held directly by Mr. Shah and (ii) 451,194 shares issuable upon exercise of stock options exercisable within 60 days after March 31, 2014.</w:t>
      </w:r>
    </w:p>
    <w:p>
      <w:pPr>
        <w:ind w:left="460" w:right="20" w:hanging="452"/>
        <w:spacing w:after="0" w:line="250"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32,514 shares of common stock held by Matrix Partners VIII, L.P., or Matrix VIII; (ii) 18 shares of common stock beneficially owned by Matrix VIII U.S. Management Co., L.L.C.; (iii) 9,043,189 shares of common stock issuable upon conversion of shares of Series B preferred stock held by Matrix VIII; (iv) 4,984 shares of common stock issuable upon conversion of shares of Series B preferred stock beneficially owned by Matrix VIII U.S. Management Co., L.L.C; (v) 3,006,313 shares of common stock issuable upon conversion of shares of Series C preferred stock held by Matrix VIII; (vi) 1,657 shares of common stock issuable upon conversion of shares of Series C preferred stock beneficially owned by Matrix VIII U.S. Management Co., L.L.C; (vii) 708,623 shares of common stock issuable upon conversion of shares of Series D preferred stock held by Matrix VIII; (viii) 391 shares of common stock issuable upon conversion of shares of Series D preferred stock beneficially owned by Matrix VIII U.S. Management Co., L.L.C; (ix) 219,139 shares of common stock issuable upon conversion of shares of Series E preferred stock held by Matrix VIII; and (viii) 121 shares of common stock issuable upon conversion of shares of Series E preferred stock beneficially owned by Matrix VIII U.S. Management Co., L.L.C. Mr. Skok, a member of our board of directors, is a Managing Member of Matrix VIII U.S. Management Co., L.L.C. Matrix VIII U.S. Management Co., L.L.C. is the sole general partner of Matrix VIII, and has sole voting and dispositive power with respect to the shares held by Matrix VIII. Mr. Skok, by virtue of his management position in Matrix VIII US Management Co., L.L.C., has sole voting and dispositive power with respect to the shares held by Matrix VIII and beneficially owned by Matrix VIII U.S. Management Co., L.L.C. The address for each of Mr. Skok, Matrix Partners VIII, L.P. and Matrix VIII US Management Co., L.L.C. is 101 Main Street, 17th Floor, Cambridge, MA 02142.</w:t>
      </w:r>
    </w:p>
    <w:p>
      <w:pPr>
        <w:spacing w:after="0" w:line="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1 through 12 above. Includes 2,690,531 shares issuable upon exercise of stock options exercisable within 60 days after March 31, 2014.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as they are expected to be in effect upon the closing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“Description of Capital Stock,” you should refer to our amended and restated certificate of incorporation and amended and restated bylaws, which are or will be included as exhibits to the registration statement of which this prospectus forms a part, and to the applicable provisions of Delaware law. Immediately following the closing of this offering, our authorized</w:t>
      </w:r>
    </w:p>
    <w:p>
      <w:pPr>
        <w:ind w:right="120"/>
        <w:spacing w:after="0" w:line="250" w:lineRule="auto"/>
        <w:rPr>
          <w:sz w:val="20"/>
          <w:szCs w:val="20"/>
          <w:color w:val="auto"/>
        </w:rPr>
      </w:pPr>
      <w:r>
        <w:rPr>
          <w:rFonts w:ascii="Times New Roman" w:cs="Times New Roman" w:eastAsia="Times New Roman" w:hAnsi="Times New Roman"/>
          <w:sz w:val="18"/>
          <w:szCs w:val="18"/>
          <w:color w:val="auto"/>
        </w:rPr>
        <w:t>capital stock will consist of shares of common stock, $0.001 par value per share, and shares of undesignated preferred stock, $0.001 par value per share.</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Assuming the conversion of all outstanding shares of our convertible preferred stock into shares of our common stock, which will occur upon the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closing of this offering, as of , 2014 , there were shares of our common stock outstanding, held by stockholders of record, and no shares of our convertible preferred stock outstanding. Our board of directors is authorized, without stockholder approval except as required by the listing standards of</w:t>
      </w:r>
    </w:p>
    <w:p>
      <w:pPr>
        <w:spacing w:after="0" w:line="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to issue additional shares of our capital 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w:t>
      </w:r>
    </w:p>
    <w:p>
      <w:pPr>
        <w:spacing w:after="0" w:line="3"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There are no redemption or sinking fund provisions applicable to the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all currently outstanding shares of preferred stock will convert into shares of our common stock, and there will be no shares of preferred stock outstanding.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Though we currently have no plans to issue any shares of preferred stock, upon the closing of this offering and the filing of our certificate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incorporation, our board of directors will have the authority, without further action by our stockholders, to designate and issue up to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spacing w:after="0" w:line="93"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holders of common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common stock will receive dividend payments;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common stock will receive payments in the event of our liquidation, dissolution, or winding up;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1780" w:val="left"/>
          <w:tab w:leader="none" w:pos="468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2014, the holders of an aggregate</w:t>
      </w:r>
      <w:r>
        <w:rPr>
          <w:sz w:val="20"/>
          <w:szCs w:val="20"/>
          <w:color w:val="auto"/>
        </w:rPr>
        <w:tab/>
      </w:r>
      <w:r>
        <w:rPr>
          <w:rFonts w:ascii="Times New Roman" w:cs="Times New Roman" w:eastAsia="Times New Roman" w:hAnsi="Times New Roman"/>
          <w:sz w:val="18"/>
          <w:szCs w:val="18"/>
          <w:color w:val="auto"/>
        </w:rPr>
        <w:t>shares of our common stock issued or issuable upon conversion of preferred stock and the</w:t>
      </w:r>
    </w:p>
    <w:p>
      <w:pPr>
        <w:spacing w:after="0" w:line="27"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holders of warrants to purchase common stock are entitled to the following rights with respect to the registration of such shares for public resale under the Securities Act of 1933, as amended, or the Securities Act, pursuant to a registration rights agreement by and among us and certain of our stockholders. We refer to these shares collectively as “registrable securities.”</w:t>
      </w:r>
    </w:p>
    <w:p>
      <w:pPr>
        <w:spacing w:after="0" w:line="18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at any time after 180 days following the effective date of this offering the holders of at least 25% of the registrable securities then outstanding request in writing that we effect a registration, we may be required to register the offer and sale of their shares anticipated to have an aggregate sale price, net of underwriting discounts and commissions, if any, of $10 million.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propose to register the offer and sale of any shares of our securities under the Securities Act, the holders of registrable securities will be entitled to notice of the registration and to include their shares of registrable securities in the registration. These piggyback registration rights are subject to certain conditions and limitations, including the right of the underwriters to limit the number of shares included in any such registration under specific circumstances. We have the right to terminate or withdraw any registration initiated by us prior to the effectiveness of such registration whether or not the holders of registrable securities have elected to include their shares in the registration.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at any time we become entitled under the Securities Act to register our shares on Form S-3 and the holders of the registrable securities then outstanding request in writing that we register their shares for public resale on Form S-3 with an aggregate price to the public of the shares to be registered of at least $2 million, we will be required to effect such registration; provided, however, that if our board of directors determines, in good faith, that such registration would be materially detrimental to us and our stockholders at such time, we may defer the registration for up to 90 days. We are only obligated to effect up to two registrations on Form S-3 within any twelve month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Under the provisions of our certificate of incorporation to become effective upon the closing of this offering, holders of our common stock are entitled to one vote for each share of common stock held by such holder on any matter submitted to a vote at a meeting of stockholders. Our post-offering certificate of incorporation does not provide cumulative voting rights to holders of our common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amended and restated bylaws that will become effective upon the closing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to become effective upon the closing of this offering will include a number of provisions that could deter hostile takeovers or delay or prevent changes in control of our board of directors or management team, including the following:</w:t>
      </w:r>
    </w:p>
    <w:p>
      <w:pPr>
        <w:spacing w:after="0" w:line="82" w:lineRule="exact"/>
        <w:rPr>
          <w:sz w:val="20"/>
          <w:szCs w:val="20"/>
          <w:color w:val="auto"/>
        </w:rPr>
      </w:pPr>
    </w:p>
    <w:p>
      <w:pPr>
        <w:ind w:left="460"/>
        <w:spacing w:after="0"/>
        <w:tabs>
          <w:tab w:leader="none" w:pos="880" w:val="left"/>
          <w:tab w:leader="none" w:pos="7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authorize our board of directors to issue, without further action by the stockholders, up to</w:t>
      </w:r>
      <w:r>
        <w:rPr>
          <w:sz w:val="20"/>
          <w:szCs w:val="20"/>
          <w:color w:val="auto"/>
        </w:rPr>
        <w:tab/>
      </w:r>
      <w:r>
        <w:rPr>
          <w:rFonts w:ascii="Times New Roman" w:cs="Times New Roman" w:eastAsia="Times New Roman" w:hAnsi="Times New Roman"/>
          <w:sz w:val="18"/>
          <w:szCs w:val="18"/>
          <w:color w:val="auto"/>
        </w:rPr>
        <w:t>shares of undesignated preferred stock;</w:t>
      </w:r>
    </w:p>
    <w:p>
      <w:pPr>
        <w:spacing w:after="0" w:line="131" w:lineRule="exact"/>
        <w:rPr>
          <w:sz w:val="20"/>
          <w:szCs w:val="20"/>
          <w:color w:val="auto"/>
        </w:rPr>
      </w:pPr>
    </w:p>
    <w:p>
      <w:pPr>
        <w:ind w:left="900" w:right="180" w:hanging="446"/>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the Chief Executive Officer or the President;</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classes—Class I, Class II and Class III—with each class serving staggered terms;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General Corporation Law of the State of Delaware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82" w:lineRule="exact"/>
        <w:rPr>
          <w:sz w:val="20"/>
          <w:szCs w:val="20"/>
          <w:color w:val="auto"/>
        </w:rPr>
      </w:pPr>
    </w:p>
    <w:p>
      <w:pPr>
        <w:ind w:left="900" w:right="280" w:hanging="446"/>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6"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84"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provisions of Delaware law and our amended and restated certificate of incorporation and amended and restated bylaws to become effective upon the closing of this offering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become effective upon the closing of this offering requires, to the fullest 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the transfer agent and registrar for our common stock will be Computershare Trust Company, 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tabs>
          <w:tab w:leader="none" w:pos="5880" w:val="left"/>
        </w:tabs>
        <w:rPr>
          <w:sz w:val="20"/>
          <w:szCs w:val="20"/>
          <w:color w:val="auto"/>
        </w:rPr>
      </w:pPr>
      <w:r>
        <w:rPr>
          <w:rFonts w:ascii="Times New Roman" w:cs="Times New Roman" w:eastAsia="Times New Roman" w:hAnsi="Times New Roman"/>
          <w:sz w:val="18"/>
          <w:szCs w:val="18"/>
          <w:color w:val="auto"/>
        </w:rPr>
        <w:t>We intend to apply for the listing of our common stock on the</w:t>
      </w:r>
      <w:r>
        <w:rPr>
          <w:sz w:val="20"/>
          <w:szCs w:val="20"/>
          <w:color w:val="auto"/>
        </w:rPr>
        <w:tab/>
      </w:r>
      <w:r>
        <w:rPr>
          <w:rFonts w:ascii="Times New Roman" w:cs="Times New Roman" w:eastAsia="Times New Roman" w:hAnsi="Times New Roman"/>
          <w:sz w:val="17"/>
          <w:szCs w:val="17"/>
          <w:color w:val="auto"/>
        </w:rPr>
        <w:t>under the symbol “HUBS.”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540" w:right="340" w:hanging="83"/>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based on the number of shares of our capital stock outstanding as of</w:t>
      </w:r>
      <w:r>
        <w:rPr>
          <w:sz w:val="20"/>
          <w:szCs w:val="20"/>
          <w:color w:val="auto"/>
        </w:rPr>
        <w:t xml:space="preserve"> </w:t>
      </w:r>
      <w:r>
        <w:rPr>
          <w:rFonts w:ascii="Times New Roman" w:cs="Times New Roman" w:eastAsia="Times New Roman" w:hAnsi="Times New Roman"/>
          <w:sz w:val="18"/>
          <w:szCs w:val="18"/>
          <w:color w:val="auto"/>
        </w:rPr>
        <w:t>, we will have a total of shares of our common stock outstanding. Of these outstanding shares, all of the shares of common stock sold in this offering will be freely</w:t>
      </w:r>
    </w:p>
    <w:p>
      <w:pPr>
        <w:ind w:right="80"/>
        <w:spacing w:after="0" w:line="261" w:lineRule="auto"/>
        <w:rPr>
          <w:sz w:val="20"/>
          <w:szCs w:val="20"/>
          <w:color w:val="auto"/>
        </w:rPr>
      </w:pPr>
      <w:r>
        <w:rPr>
          <w:rFonts w:ascii="Times New Roman" w:cs="Times New Roman" w:eastAsia="Times New Roman" w:hAnsi="Times New Roman"/>
          <w:sz w:val="18"/>
          <w:szCs w:val="18"/>
          <w:color w:val="auto"/>
        </w:rPr>
        <w:t>tradable, except that any shares purchased in this offering by our affiliates, as that term is defined in Rule 144 under the Securities Act, would only be able to be sold in compliance with the Rule 144 limitations described below.</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common stock have entered into market standoff agreements with us or lock-up agreements with the underwriters under which they have agreed, subject to specific exceptions, not to sell any of our stock for at least 180 days following the date of this prospectus. As a result of these agreements and the provisions of our amended and restated certificate of incorporation and amended and restated bylaws described above under</w:t>
      </w:r>
    </w:p>
    <w:p>
      <w:pPr>
        <w:ind w:right="80"/>
        <w:spacing w:after="0" w:line="261" w:lineRule="auto"/>
        <w:rPr>
          <w:sz w:val="20"/>
          <w:szCs w:val="20"/>
          <w:color w:val="auto"/>
        </w:rPr>
      </w:pPr>
      <w:r>
        <w:rPr>
          <w:rFonts w:ascii="Times New Roman" w:cs="Times New Roman" w:eastAsia="Times New Roman" w:hAnsi="Times New Roman"/>
          <w:sz w:val="18"/>
          <w:szCs w:val="18"/>
          <w:color w:val="auto"/>
        </w:rPr>
        <w:t>“Description of Capital Stock—Registration Rights,” subject to the provisions of Rule 144 or Rule 701, based on an assumed offering date of , shares will be available for sale in the public market as follows:</w:t>
      </w:r>
    </w:p>
    <w:p>
      <w:pPr>
        <w:sectPr>
          <w:pgSz w:w="11900" w:h="16838" w:orient="portrait"/>
          <w:cols w:equalWidth="0" w:num="1">
            <w:col w:w="11400"/>
          </w:cols>
          <w:pgMar w:left="240" w:top="455" w:right="259" w:bottom="1440" w:gutter="0" w:footer="0" w:header="0"/>
        </w:sectPr>
      </w:pP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on the date of this prospectus, the public market;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sold in this offering will be immediately available for sale in the</w:t>
      </w:r>
    </w:p>
    <w:p>
      <w:pPr>
        <w:spacing w:after="0" w:line="346" w:lineRule="exact"/>
        <w:rPr>
          <w:sz w:val="20"/>
          <w:szCs w:val="20"/>
          <w:color w:val="auto"/>
        </w:rPr>
      </w:pPr>
    </w:p>
    <w:p>
      <w:pPr>
        <w:sectPr>
          <w:pgSz w:w="11900" w:h="16838" w:orient="portrait"/>
          <w:cols w:equalWidth="0" w:num="3">
            <w:col w:w="520" w:space="380"/>
            <w:col w:w="3180" w:space="580"/>
            <w:col w:w="674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beginning 90 days after the date of this prospectus, additional shares of common stock may become eligible for sale in the public market upon the satisfaction of certain conditions as set forth in “—Lock-Up Agreements,” of which shares would be held by affiliates and subject to the volume and other restrictions of Rule 144, as described below;</w:t>
      </w:r>
    </w:p>
    <w:p>
      <w:pPr>
        <w:spacing w:after="0" w:line="82" w:lineRule="exact"/>
        <w:rPr>
          <w:sz w:val="20"/>
          <w:szCs w:val="20"/>
          <w:color w:val="auto"/>
        </w:rPr>
      </w:pPr>
    </w:p>
    <w:p>
      <w:pPr>
        <w:sectPr>
          <w:pgSz w:w="11900" w:h="16838" w:orient="portrait"/>
          <w:cols w:equalWidth="0" w:num="2">
            <w:col w:w="520" w:space="380"/>
            <w:col w:w="1050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beginning 181 days after the date of this prospectus, additional shares of common stock will become eligible for sale in the public market, of which shares will be held by affiliates and subject to the volume and other restrictions of Rule 144, as described below; and</w:t>
      </w:r>
    </w:p>
    <w:p>
      <w:pPr>
        <w:spacing w:after="0" w:line="67" w:lineRule="exact"/>
        <w:rPr>
          <w:sz w:val="20"/>
          <w:szCs w:val="20"/>
          <w:color w:val="auto"/>
        </w:rPr>
      </w:pPr>
    </w:p>
    <w:p>
      <w:pPr>
        <w:sectPr>
          <w:pgSz w:w="11900" w:h="16838" w:orient="portrait"/>
          <w:cols w:equalWidth="0" w:num="2">
            <w:col w:w="520" w:space="380"/>
            <w:col w:w="10500"/>
          </w:cols>
          <w:pgMar w:left="240" w:top="455" w:right="259" w:bottom="1440" w:gutter="0" w:footer="0" w:header="0"/>
          <w:type w:val="continuous"/>
        </w:sectPr>
      </w:pPr>
    </w:p>
    <w:p>
      <w:pPr>
        <w:ind w:left="900" w:right="200" w:hanging="446"/>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shares of common stock will be eligible for sale in the public market from time to time thereafter, subject in some cases to the volume and other restrictions of Rule 144,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our executive officers, directors and holders of all of our common stock and securities convertible into or exchangeable for our common stock, have agreed or will agree that, subject to certain exceptions, for a period of 180 days from the date of this prospectus, we and they will not, without the prior written consent of Morgan Stanley, dispose of or hedge any shares or any securities convertible into or exchangeable for shares of our capital stock. Morgan Stanley &amp; Co., LLC may, in their discretion, and with our consent, release any of the securities subject to these lock-up agreements at any time. Any determination to release shares subject to the lock-up agreements would be based on a number of factors at the time of determination, including but not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55" w:right="25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necessarily limited to the market price of the common stock, the liquidity of the trading market for the common stock, general market conditions, the number of shares proposed to be sold, contractual obligations to release certain shares subject to the lock-up agreements in the event any such shares are released, subject to certain specific limitations and thresholds, and the timing, purpose and terms of the proposed sale.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agreements, and the exceptions thereto, are described in the section entitled “Underwriters.”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Section 13 or</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380"/>
          </w:cols>
          <w:pgMar w:left="240" w:top="455" w:right="279" w:bottom="1440" w:gutter="0" w:footer="0" w:header="0"/>
        </w:sectPr>
      </w:pP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shares immediately after this</w:t>
      </w:r>
    </w:p>
    <w:p>
      <w:pPr>
        <w:spacing w:after="0" w:line="346" w:lineRule="exact"/>
        <w:rPr>
          <w:sz w:val="20"/>
          <w:szCs w:val="20"/>
          <w:color w:val="auto"/>
        </w:rPr>
      </w:pPr>
    </w:p>
    <w:p>
      <w:pPr>
        <w:sectPr>
          <w:pgSz w:w="11900" w:h="16838" w:orient="portrait"/>
          <w:cols w:equalWidth="0" w:num="3">
            <w:col w:w="520" w:space="380"/>
            <w:col w:w="7180" w:space="620"/>
            <w:col w:w="2680"/>
          </w:cols>
          <w:pgMar w:left="240" w:top="455" w:right="279" w:bottom="1440" w:gutter="0" w:footer="0" w:header="0"/>
          <w:type w:val="continuous"/>
        </w:sectPr>
      </w:pPr>
    </w:p>
    <w:p>
      <w:pPr>
        <w:ind w:left="900" w:right="500" w:hanging="446"/>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5640" w:val="left"/>
        </w:tabs>
        <w:rPr>
          <w:sz w:val="20"/>
          <w:szCs w:val="20"/>
          <w:color w:val="auto"/>
        </w:rPr>
      </w:pPr>
      <w:r>
        <w:rPr>
          <w:rFonts w:ascii="Times New Roman" w:cs="Times New Roman" w:eastAsia="Times New Roman" w:hAnsi="Times New Roman"/>
          <w:sz w:val="18"/>
          <w:szCs w:val="18"/>
          <w:color w:val="auto"/>
        </w:rPr>
        <w:t>Upon completion of this offering, the holders of an aggregate of</w:t>
      </w:r>
      <w:r>
        <w:rPr>
          <w:sz w:val="20"/>
          <w:szCs w:val="20"/>
          <w:color w:val="auto"/>
        </w:rPr>
        <w:tab/>
      </w:r>
      <w:r>
        <w:rPr>
          <w:rFonts w:ascii="Times New Roman" w:cs="Times New Roman" w:eastAsia="Times New Roman" w:hAnsi="Times New Roman"/>
          <w:sz w:val="17"/>
          <w:szCs w:val="17"/>
          <w:color w:val="auto"/>
        </w:rPr>
        <w:t>shares of our common stock (including the shares underlying the warrants</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described in “—Warrant” below) will be entitled to various rights with respect to the registration of the offer and sale of these shares under the Securities Act. Registration of the offer and sale of these shares under the Securities Act would result in these shares becoming freely tradable without restriction under the Securities Act immediately upon the effectiveness of the applicable registration statement, except for shares purchased by affiliates. See the section of this prospectus captioned “Description of Capital Stock—Registration Rights” for additional information.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80"/>
          </w:cols>
          <w:pgMar w:left="240" w:top="455" w:right="27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1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tc>
        <w:tc>
          <w:tcPr>
            <w:tcW w:w="6500" w:type="dxa"/>
            <w:vAlign w:val="bottom"/>
          </w:tcPr>
          <w:p>
            <w:pPr>
              <w:spacing w:after="0"/>
              <w:rPr>
                <w:sz w:val="24"/>
                <w:szCs w:val="24"/>
                <w:color w:val="auto"/>
              </w:rPr>
            </w:pPr>
          </w:p>
        </w:tc>
      </w:tr>
      <w:tr>
        <w:trPr>
          <w:trHeight w:val="306"/>
        </w:trPr>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3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2014, options to purchase a total of</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pursuant to our 2007 Equity Incentive Plan were outstanding,</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options to purchase</w:t>
            </w:r>
          </w:p>
        </w:tc>
        <w:tc>
          <w:tcPr>
            <w:tcW w:w="8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were exercisable. We intend to file a registration statement on Form S-8 under the Securities Act as promptly as</w:t>
            </w:r>
          </w:p>
        </w:tc>
      </w:tr>
    </w:tbl>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possible after the completion of this offering to register shares that may be issued pursuant to our 2007 Plan and our 2014 Plan.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lock-up agreements and market standoff agreements. See “Executive Compensation—Employee Benefits Plans” for a description of our equity incentive plans.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a debt facility we entered into in April 2012 with Comerica Bank, we issued a warrant that is exercisable for 39,474 shares of our common stock at $1.90 per share. The warrant expires in April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20"/>
          </w:cols>
          <w:pgMar w:left="240" w:top="446"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to non-U.S. holders (as defined below) relating to the acquisition, ownership and disposition of common stock pursuant to this offering. This summary deals only with common stock held as a capital asset (within the meaning of Section 1221 of the Internal Revenue Code of 1986, as amended, or the Code) by a holder and does not discuss the U.S. federal income tax considerations applicable to a holder that is subject to special treatment under U.S. federal income tax laws, including, but not limited to: a dealer in securities or currencies; a financial institution; a regulated investment company; a real estate investment trust; a tax-exempt organization; an insurance company; a person holding common stock as part of a hedging, integrated, conversion or straddle transaction or a person deemed to sell common stock under the constructive sale provisions of the Code; a trader in securities that has elected the mark-to-market method of accounting; an entity or arrangement that is treated as a partnership for U.S. federal income tax purposes or owners of such entity or arrangement; a person that received such common stock in connection with the performance of services; pension fund or retirement account; a “controlled foreign corporation;” a “passive foreign investment company;” a corporation that accumulates earnings to avoid U.S. federal income tax; or a former citizen or long-term resident of the United States.</w:t>
      </w:r>
    </w:p>
    <w:p>
      <w:pPr>
        <w:spacing w:after="0" w:line="18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This summary is based upon provisions of the Code, applicable U.S. Treasury regulations promulgated thereunder, published rulings and judicial decisions, all as in effect as of the date hereof. Those authorities may be changed, perhaps retroactively, or may be subject to differing interpretations, which could result in U.S. federal income tax consequences different from those discussed below. This summary does not address all aspects of U.S. federal income tax, does not deal with all tax considerations that may be relevant to stockholders in light of their personal circumstances and does not address the Medicare tax imposed on certain investment income or any state, local, foreign, gift, estate or alternative minimum tax considerations.</w:t>
      </w:r>
    </w:p>
    <w:p>
      <w:pPr>
        <w:spacing w:after="0" w:line="184" w:lineRule="exact"/>
        <w:rPr>
          <w:sz w:val="20"/>
          <w:szCs w:val="20"/>
          <w:color w:val="auto"/>
        </w:rPr>
      </w:pPr>
    </w:p>
    <w:p>
      <w:pPr>
        <w:jc w:val="both"/>
        <w:ind w:right="180" w:firstLine="456"/>
        <w:spacing w:after="0" w:line="272"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common stock that is: an individual citizen or resident of the United States; a corporation (or any other entity treated as a corporation for U.S. federal income tax purposes) created or organized in or under the laws of the United States, any state thereof or the District of Columbia; an estate the income of which is subject to U.S. federal income taxation regardless of its source; or a trust if it</w:t>
      </w:r>
    </w:p>
    <w:p>
      <w:pPr>
        <w:spacing w:after="0" w:line="2" w:lineRule="exact"/>
        <w:rPr>
          <w:sz w:val="20"/>
          <w:szCs w:val="20"/>
          <w:color w:val="auto"/>
        </w:rPr>
      </w:pPr>
    </w:p>
    <w:p>
      <w:pPr>
        <w:ind w:firstLine="8"/>
        <w:spacing w:after="0" w:line="261"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common stock that is neither a U.S. holder nor a partnership (or any other entity or arrangement that is treated as a partnership) for U.S. federal income tax purposes. If a partnership (or an entity or arrangement that is treated as a partnership for U.S. federal income tax purposes) holds common stock, the tax treatment of a partner will generally depend upon the status of the partner and the activities of the partnership. A partner of a partnership holding common stock is urged to consult its own tax advisors.</w:t>
      </w:r>
    </w:p>
    <w:p>
      <w:pPr>
        <w:spacing w:after="0" w:line="17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OWN TAX ADVISORS CONCERNING THEIR PARTICULAR U.S. FEDERAL INCOME TAX CONSEQUENCES IN LIGHT OF THEIR SPECIFIC SITUATIONS, AS WELL AS THE TAX CONSEQUENCES ARISING UNDER ANY STATE, LOCAL OR NON-U.S. TAX LAWS AND ANY OTHER U.S. FEDERAL TAX LAWS (INCLUDING THE U.S. FEDERAL ESTATE AND GIFT TAX LAWS).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Distributions with respect to common stock, if any, generally will constitute dividends for U.S. federal income tax purposes to the extent paid out of current or accumulated earnings and profits, as determined for U.S. federal income tax purposes. Any portion of a distribution in excess of current or accumulated earnings and profits will be treated as a return of capital and will first be applied to reduce the holder’s tax basis in its common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stock, but not below zero. Any remaining amount will then be treated as gain from the sale or exchange of the common stock and will be treated as described under the section titled “—Disposition of our Common Stock” below.</w:t>
      </w:r>
    </w:p>
    <w:p>
      <w:pPr>
        <w:spacing w:after="0" w:line="16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Distributions treated as dividends that are paid to a non-U.S. holder, if any, with respect to shares of our common stock will be subject to U.S. federal withholding tax at a rate of 30% (or lower applicable income tax treaty rate) of the gross amount of the dividends unless the dividends are effectively connected with the non-U.S. holder’s conduct of a trade or business in the United States. If a non-U.S. holder is engaged in a trade or business in the United States and dividends with respect to the common stock are effectively connected with the conduct of that trade or business, then the non-U.S. holder will generally be exempt from the 30% U.S. federal withholding tax, provided certain certification requirements are satisfied, but the non-U.S. holder will be subject to U.S. federal income tax on those dividends on a net income basis at regular graduated U.S. federal income tax rates in the same manner as if such holder were a resident of the United States (except to the extent provided in an applicable income tax treaty, which may require that such dividends be attributable to a U.S. permanent establishment or fixed base in order to be subject to tax as described herein). Any such effectively connected income received by a foreign corporation may, under certain circumstances, be subject to an additional branch profits tax equal to 30% (or lower applicable income tax treaty rate) of its effectively connected earnings and profits for the taxable year, as adjusted under the Code. To claim the exemption from withholding with respect to any such effectively connected income, the non-U.S. holder must generally furnish to us or our paying agent a properly executed IRS Form W-8ECI (or applicable successor form). A non-U.S. holder of shares of common stock who wishes to claim the benefit of an exemption or reduced rate of withholding tax under an applicable treaty must furnish to us or our paying agent a valid IRS Form W-8BEN (or applicable successor form) certifying such holder’s qualification for the exemption or reduced rate. If a non-U.S. holder is eligible for a reduced rate of U.S. withholding tax pursuant to an income tax treaty, it may obtain a refund of any excess amounts withheld by filing an appropriate claim for refund with the Internal Revenue Service, or IRS. Non-U.S. holders are urged to consult their tax advisors regarding their entitlement to benefits under a relevant income tax treaty.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our Common Stock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Non-U.S. holders may recognize gain upon the sale, exchange, or other taxable disposition of our common stock. Such gain generally will not be subject to U.S. federal income tax unless: (i) that gain is effectively connected with the non-U.S. holder’s conduct of a trade or business in the United States (and, if required by an applicable income tax treaty, is attributable to a U.S. permanent establishment or fixed base maintained by the non-U.S. holder); (ii) the non-U.S. holder is a nonresident alien individual who is present in the United States for 183 days or more in the taxable year of that disposition, and certain other conditions are met; or (iii) we are or have been a “U.S. real property holding corporation” for U.S. federal income tax purposes at any time during the shorter of the five-year period preceding the date of disposition or the holder’s holding period for our common stock, unless our common stock is regularly traded on an established securities market and the non-U.S. holder held no more than 5% of our outstanding common stock, directly or indirectly, during the shorter of the five year period ending on the date of the disposition or the period that the non-U.S. holder held our common stock. We believe that we are not and we do not anticipate becoming a “U.S. real property holding corporation” for U.S. federal income tax purposes. No assurance can be provided that our common stock will remain regularly traded on an established securities market for purposes of the rules described above.</w:t>
      </w:r>
    </w:p>
    <w:p>
      <w:pPr>
        <w:spacing w:after="0" w:line="18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a non-U.S. holder is an individual described in clause (i) of the preceding paragraph, the non-U.S. holder will generally be subject to tax on a net income basis at the regular graduated U.S. federal individual income tax rates in the same manner as if such holder were a resident of the United States, unless an applicable income tax treaty provides otherwise. If the non-U.S. holder is an individual described in clause (ii) of the preceding paragraph, the non-U.S. holder will generally be subject to a flat 30% tax on the gain, which may be offset by U.S. source capital losses even though the non-U.S. holder is not considered a resident of the United States, provided that the non-U.S. holder has timely filed U.S. federal income tax returns with respect to such losses. If a non-U.S. holder is a foreign corporation that falls under clause (i) of the preceding paragraph, it will be subject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tax on a net income basis at the regular graduated U.S. federal corporate income tax rates in the same manner as if it were a resident of the United States and, in addition, the non-U.S. holder may be subject to the branch profits tax at a rate equal to 30% (or lower applicable income tax treaty rate) of its effectively connected earnings and profits.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 Tax</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must generally report to our non-U.S. holders and the IRS the amount of dividends paid during each calendar year and the amount of any tax withheld. All distributions to holders of common stock are subject to any applicable withholding. Information reporting requirements may apply even if no withholding was required because the distributions were effectively connected with the non-U.S. holder’s conduct of a United States trade or business or withholding was reduced or eliminated by an applicable income tax treaty. This information also may be made available under a specific treaty or agreement with the tax authorities in the country in which the non-U.S. holder resides or is established. Under U.S. federal income tax law, interest, dividends and other reportable payments may, under certain circumstances, be subject to “backup withholding” at the then applicable rate. Backup withholding, however, generally will not apply to distributions to a non-U.S. holder of our common stock, provided the non-U.S. holder furnishes to us or our paying agent the required certification as to its non-U.S. status, such as by providing a valid IRS Form W-8BEN or IRS Form W-8ECI, or certain other requirements are met. Notwithstanding the foregoing, backup withholding may apply if either we or our paying agent has actual knowledge, or reason to know, that the holder is a U.S. person that is not an exempt recipient. Backup withholding is not an additional tax but can be credited against a non-U.S. holder’s federal income tax, and may be refunded to the extent it results in an overpayment of tax and the appropriate information is timely supplied to the IRS.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The Foreign Account Tax Compliance Act, or FATCA, imposes withholding taxes on certain types of payments made to “foreign financial institutions” (as specially defined under these rules) and certain other non-U.S. entities if certification, information reporting and other specified requirements are not met. FATCA imposes a 30% withholding tax on “withholdable payments” if they are paid to a foreign financial institution or to a foreign non-financial entity, unless (i) the foreign financial institution undertakes certain diligence and reporting obligations and other specified requirements are satisfied or (ii) the foreign non-financial entity either certifies it does not have any substantial U.S. owners or furnishes identifying information regarding each substantial U.S. owner and other specified requirements are satisfied. “Withholdable payment” generally means (i) any payment of interest, dividends, rents and certain other types of income if such payment is from sources within the United States, and (ii) any gross proceeds from the sale or other disposition of any property of a type that can produce interest or dividends from sources within the United States (including, for example, stock and debt of U.S. corporations).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an investor does not provide us with the information necessary to comply with FATCA, it is possible that distributions to such investor that are attributable to withholdable payments, such as dividends, will be subject to the 30% withholding tax. Under final U.S. Treasury Regulations and current IRS guidance, withholding on dividends on our common stock will only apply to payments made on or after July 1, 2014, and withholding on payments of gross proceeds from the sale or disposition of our common stock will only apply to payments made on or after January 1, 2017. An intergovernmental agreement between the United States and an applicable foreign country may modify the requirements described in this paragraph. Prospective investors should consult their own tax advisors regarding this legislation.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60"/>
          </w:cols>
          <w:pgMar w:left="240" w:top="455" w:right="2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640" w:type="dxa"/>
            <w:vAlign w:val="bottom"/>
          </w:tcPr>
          <w:p>
            <w:pPr>
              <w:jc w:val="center"/>
              <w:ind w:left="19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8"/>
        </w:trPr>
        <w:tc>
          <w:tcPr>
            <w:tcW w:w="2340" w:type="dxa"/>
            <w:vAlign w:val="bottom"/>
            <w:vMerge w:val="continue"/>
          </w:tcPr>
          <w:p>
            <w:pPr>
              <w:spacing w:after="0"/>
              <w:rPr>
                <w:sz w:val="16"/>
                <w:szCs w:val="16"/>
                <w:color w:val="auto"/>
              </w:rPr>
            </w:pPr>
          </w:p>
        </w:tc>
        <w:tc>
          <w:tcPr>
            <w:tcW w:w="2640" w:type="dxa"/>
            <w:vAlign w:val="bottom"/>
          </w:tcPr>
          <w:p>
            <w:pPr>
              <w:jc w:val="center"/>
              <w:ind w:left="19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-635</wp:posOffset>
            </wp:positionV>
            <wp:extent cx="542861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Pacific Crest Securities LLC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1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common stock.</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w:t>
            </w:r>
          </w:p>
        </w:tc>
        <w:tc>
          <w:tcPr>
            <w:tcW w:w="6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84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4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up to $20,000.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tabs>
          <w:tab w:leader="none" w:pos="5120" w:val="left"/>
        </w:tabs>
        <w:rPr>
          <w:sz w:val="20"/>
          <w:szCs w:val="20"/>
          <w:color w:val="auto"/>
        </w:rPr>
      </w:pPr>
      <w:r>
        <w:rPr>
          <w:rFonts w:ascii="Times New Roman" w:cs="Times New Roman" w:eastAsia="Times New Roman" w:hAnsi="Times New Roman"/>
          <w:sz w:val="18"/>
          <w:szCs w:val="18"/>
          <w:color w:val="auto"/>
        </w:rPr>
        <w:t>We intend to apply to list our common stock on the</w:t>
      </w:r>
      <w:r>
        <w:rPr>
          <w:sz w:val="20"/>
          <w:szCs w:val="20"/>
          <w:color w:val="auto"/>
        </w:rPr>
        <w:tab/>
      </w:r>
      <w:r>
        <w:rPr>
          <w:rFonts w:ascii="Times New Roman" w:cs="Times New Roman" w:eastAsia="Times New Roman" w:hAnsi="Times New Roman"/>
          <w:sz w:val="18"/>
          <w:szCs w:val="18"/>
          <w:color w:val="auto"/>
        </w:rPr>
        <w:t>under the trading symbol “HUBS”.</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We and all directors and officers and the holders of all of our outstanding stock and stock options have agreed that, without the prior written consent of Morgan Stanley &amp; Co. LLC on behalf of the underwriters, we and they will not, during the period ending 180 days after the date of this prospectus, which we refer to as the restricted period:</w:t>
      </w:r>
    </w:p>
    <w:p>
      <w:pPr>
        <w:spacing w:after="0" w:line="82" w:lineRule="exact"/>
        <w:rPr>
          <w:sz w:val="20"/>
          <w:szCs w:val="20"/>
          <w:color w:val="auto"/>
        </w:rPr>
      </w:pPr>
    </w:p>
    <w:p>
      <w:pPr>
        <w:ind w:left="900" w:right="60" w:hanging="446"/>
        <w:spacing w:after="0" w:line="266"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1"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 our directors, officers and other holders of all of our outstanding stock and stock options with respect to:</w:t>
      </w:r>
    </w:p>
    <w:p>
      <w:pPr>
        <w:spacing w:after="0" w:line="67" w:lineRule="exact"/>
        <w:rPr>
          <w:sz w:val="20"/>
          <w:szCs w:val="20"/>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security holder of shares of common stock or any securities convertible into or exercisable or exchangeable for common stock</w:t>
      </w:r>
    </w:p>
    <w:p>
      <w:pPr>
        <w:spacing w:after="0" w:line="27" w:lineRule="exact"/>
        <w:rPr>
          <w:rFonts w:ascii="Times New Roman" w:cs="Times New Roman" w:eastAsia="Times New Roman" w:hAnsi="Times New Roman"/>
          <w:sz w:val="18"/>
          <w:szCs w:val="18"/>
          <w:color w:val="auto"/>
        </w:rPr>
      </w:pPr>
    </w:p>
    <w:p>
      <w:pPr>
        <w:ind w:left="90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as a bona fide gift, (2) by will or intestacy or to any trust for the benefit of such security holder or an immediate family member; (3) as distributions by a trust to its beneficiaries or (4) if the security holder is a corporation, partnership, limited liability company, trust or other business entity (a) to another corporation, partnership, limited liability company, trust or other business entity that is an affiliate of such security holder or (b) distributions of such shares of common stock or securities convertible into or exercisable for common stock to limited partners, limited liability company members or stockholders of such security holder; provided that in each case, each transferee, trustee, donee or distributee shall sign and deliver a lock-up agreement and no filing under Section 16(a) of the Exchange Act reporting a reduction in beneficial ownership of shares of common stock shall be required or shall be voluntarily made during the restricted period;</w:t>
      </w:r>
    </w:p>
    <w:p>
      <w:pPr>
        <w:spacing w:after="0" w:line="94"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exercise of an option or a warrant, including the payment of taxes due as a result of such exercise, pursuant to employee benefit plans in accordance with the terms of such plans as described in this prospectus, provided that no filing under Section 16(a) of the Exchange Act reporting a reduction in beneficial ownership of shares of common stock shall be required or shall be voluntarily made during the restricted period;</w:t>
      </w:r>
    </w:p>
    <w:p>
      <w:pPr>
        <w:spacing w:after="0" w:line="85"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this offering or in open market transactions after the completion of the offering of the shares; provided that no filing under Section 16(a) of the Securities Exchange Act of 1934, as amended, or the Exchange Act, is required or voluntarily made in connection with subsequent sales of the common stock or other securities acquired in such transactions;</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plan does not provide for the transfer of common stock</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66" w:lineRule="auto"/>
        <w:rPr>
          <w:sz w:val="20"/>
          <w:szCs w:val="20"/>
          <w:color w:val="auto"/>
        </w:rPr>
      </w:pPr>
      <w:r>
        <w:rPr>
          <w:rFonts w:ascii="Times New Roman" w:cs="Times New Roman" w:eastAsia="Times New Roman" w:hAnsi="Times New Roman"/>
          <w:sz w:val="18"/>
          <w:szCs w:val="18"/>
          <w:color w:val="auto"/>
        </w:rPr>
        <w:t>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82" w:lineRule="exact"/>
        <w:rPr>
          <w:sz w:val="20"/>
          <w:szCs w:val="20"/>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the outstanding preferred stock into shares of common stock; or</w:t>
      </w:r>
    </w:p>
    <w:p>
      <w:pPr>
        <w:spacing w:after="0" w:line="130" w:lineRule="exact"/>
        <w:rPr>
          <w:rFonts w:ascii="Times New Roman" w:cs="Times New Roman" w:eastAsia="Times New Roman" w:hAnsi="Times New Roman"/>
          <w:sz w:val="18"/>
          <w:szCs w:val="18"/>
          <w:color w:val="auto"/>
        </w:rPr>
      </w:pPr>
    </w:p>
    <w:p>
      <w:pPr>
        <w:ind w:left="900" w:hanging="446"/>
        <w:spacing w:after="0" w:line="255"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any security convertible into or exercisable or exchangeable for common stock pursuant to a bona fide third party tender offer, merger, consolidation or other similar transaction that is approved by our board of directors involving a change of control of 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tender offer, merger, consolidation or other such transaction is not completed, the common stock owned by the holder shall otherwise remain subject to the restrictions contained in the lock-up agreement. For purposes of this exception,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at least a majority of the outstanding voting securities of us (or the surviving entity).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restrictions described above do not apply to us with respect to:</w:t>
      </w:r>
    </w:p>
    <w:p>
      <w:pPr>
        <w:spacing w:after="0" w:line="131" w:lineRule="exact"/>
        <w:rPr>
          <w:sz w:val="20"/>
          <w:szCs w:val="20"/>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to be sold by us in this offering;</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or the conversion of a security outstanding on the date hereof;</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or options to purchase shares of common stock pursuant to our equity plans disclosed in this prospectus;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registration statement on Form S-8 or a successor form thereto; and</w:t>
      </w:r>
    </w:p>
    <w:p>
      <w:pPr>
        <w:spacing w:after="0" w:line="130" w:lineRule="exact"/>
        <w:rPr>
          <w:rFonts w:ascii="Times New Roman" w:cs="Times New Roman" w:eastAsia="Times New Roman" w:hAnsi="Times New Roman"/>
          <w:sz w:val="18"/>
          <w:szCs w:val="18"/>
          <w:color w:val="auto"/>
        </w:rPr>
      </w:pPr>
    </w:p>
    <w:p>
      <w:pPr>
        <w:ind w:left="900" w:right="20" w:hanging="446"/>
        <w:spacing w:after="0" w:line="255"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into an agreement providing for the issuance by us of shares of common stock or any security convertible into or exercisable for shares of common stock in connection with (i) the acquisition by us or any of our subsidiaries of the securities, business, property or other assets of another person or entity or pursuant to an employee benefit plan assumed by us in connection with such acquisition, and the issuance of any such securities pursuant to any such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exception, the aggregate number of shares of common stock that we may sell or issue pursuant to this exception shall not exceed 5% of the total number of shares of our common stock issued and outstanding immediately following the completion of this offering and all recipients of shares of common stock or any security convertible into or exercisable for shares of common stock shall enter into a lock-up agreement substantially in the form entered into by our other securityholders in connection with this offering.</w:t>
      </w:r>
    </w:p>
    <w:p>
      <w:pPr>
        <w:spacing w:after="0" w:line="18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Morgan Stanley &amp; Co. LLC, in its sole discretion, may release the common stock and other securities subject to the lock-up agreements described above in whole or in part at any time with or without notice with or without notice; provided, however, that if the release is granted for one of our officers or directors, Morgan Stanley &amp; Co., LLC, on behalf of the underwriters, agree that at least three business days before the effective date of the release or waiver, Morgan Stanley &amp; Co., LLC, on behalf of the underwriters, will notify us of the impending release or waiver, and (ii) we are obligated to announce the impending release or waiver by press release through a major news service at least two business days before the effective date of the release or waiver.</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460"/>
        <w:spacing w:after="0"/>
        <w:tabs>
          <w:tab w:leader="none" w:pos="4780" w:val="left"/>
        </w:tabs>
        <w:rPr>
          <w:sz w:val="20"/>
          <w:szCs w:val="20"/>
          <w:color w:val="auto"/>
        </w:rPr>
      </w:pPr>
      <w:r>
        <w:rPr>
          <w:rFonts w:ascii="Times New Roman" w:cs="Times New Roman" w:eastAsia="Times New Roman" w:hAnsi="Times New Roman"/>
          <w:sz w:val="18"/>
          <w:szCs w:val="18"/>
          <w:color w:val="auto"/>
        </w:rPr>
        <w:t>At our request, the underwriters have reserved up to</w:t>
      </w:r>
      <w:r>
        <w:rPr>
          <w:sz w:val="20"/>
          <w:szCs w:val="20"/>
          <w:color w:val="auto"/>
        </w:rPr>
        <w:tab/>
      </w:r>
      <w:r>
        <w:rPr>
          <w:rFonts w:ascii="Times New Roman" w:cs="Times New Roman" w:eastAsia="Times New Roman" w:hAnsi="Times New Roman"/>
          <w:sz w:val="17"/>
          <w:szCs w:val="17"/>
          <w:color w:val="auto"/>
        </w:rPr>
        <w:t>shares of common stock to be issued by us and offered by this prospectus for sale, at the</w:t>
      </w:r>
    </w:p>
    <w:p>
      <w:pPr>
        <w:spacing w:after="0" w:line="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initial public offering price, to directors, officers, employees and business associates of ours as well as certain family members of such persons. If purchased by these persons, these shares will be subject to a 180-day lock-up restriction.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240" w:top="455" w:right="31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or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86"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460" w:right="200" w:hanging="452"/>
        <w:spacing w:after="0" w:line="266"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1" w:lineRule="exact"/>
        <w:rPr>
          <w:rFonts w:ascii="Times New Roman" w:cs="Times New Roman" w:eastAsia="Times New Roman" w:hAnsi="Times New Roman"/>
          <w:sz w:val="18"/>
          <w:szCs w:val="18"/>
          <w:color w:val="auto"/>
        </w:rPr>
      </w:pPr>
    </w:p>
    <w:p>
      <w:pPr>
        <w:ind w:left="460" w:right="420" w:hanging="452"/>
        <w:spacing w:after="0" w:line="282"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460" w:hanging="452"/>
        <w:spacing w:after="0" w:line="266"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1"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Goodwin Procter LLP, Boston, Massachusetts, which has acted as our counsel in connection with this offering, will pass upon the validity of the shares of common stock being offered by this prospectus. The underwriters have been represented by Wilmer Cutler Pickering Hale and Dorr LLP, Boston, Massachusetts.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2013 and 2012, and for each of the three years in the period ended December 31, 2013,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change in accounting policy for sales commissions). Such financial statements have been so included in reliance upon the report of such firm given upon their authority as experts in accounting and auditing.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www.hubspot.com.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8"/>
            <w:vMerge w:val="restart"/>
          </w:tcPr>
          <w:p>
            <w:pPr>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02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39">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8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Consolidated Statements of Operations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Consolidated Statements of Comprehensive Loss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42">
              <w:r>
                <w:rPr>
                  <w:rFonts w:ascii="Times New Roman" w:cs="Times New Roman" w:eastAsia="Times New Roman" w:hAnsi="Times New Roman"/>
                  <w:sz w:val="18"/>
                  <w:szCs w:val="18"/>
                  <w:color w:val="0000EE"/>
                  <w:w w:val="99"/>
                </w:rPr>
                <w:t>Consolidated Statement of Redeemable Convertible Preferred Stock and Stockholders’ Deficit</w:t>
              </w:r>
            </w:hyperlink>
          </w:p>
        </w:tc>
        <w:tc>
          <w:tcPr>
            <w:tcW w:w="4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Consolidated Statements of Cash Flows</w:t>
              </w:r>
            </w:hyperlink>
          </w:p>
        </w:tc>
        <w:tc>
          <w:tcPr>
            <w:tcW w:w="81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HubSpot,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HubSpot, Inc. and subsidiary (the “Company”) as of December 31, 2012 and 2013, and the related consolidated statements of operations, comprehensive loss, redeemable convertible preferred stock and stockholders’ deficit,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the Company as of December 31, 2012 and 2013, and the results of their operations and their cash flows for each of the three years in the period ended December 31, 2013, in conformity with accounting principles generally accepted in the United States of America.</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elected to change its accounting policy for sales commissions expense related to subscription revenue contracts, from recording the expense when incurred, to the deferral and recognition of these costs over the contractual term of the associated customer agreement in all years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2014</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4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(As adjusted)*</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560" w:type="dxa"/>
            <w:vAlign w:val="bottom"/>
          </w:tcPr>
          <w:p>
            <w:pPr>
              <w:spacing w:after="0"/>
              <w:rPr>
                <w:sz w:val="13"/>
                <w:szCs w:val="13"/>
                <w:color w:val="auto"/>
              </w:rPr>
            </w:pPr>
          </w:p>
        </w:tc>
        <w:tc>
          <w:tcPr>
            <w:tcW w:w="7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Cash</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41,097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12,643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Accounts receivable—net of allowance for doubtful accounts of $122, $175, and $155 at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December 31, 2012, 2013, and March 31, 2014 (unaudited), respectively</w:t>
            </w:r>
          </w:p>
        </w:tc>
        <w:tc>
          <w:tcPr>
            <w:tcW w:w="20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5,231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Deferred commission expense</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2,836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3,991</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370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Prepaid hosting costs</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63</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2,150</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846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50,523</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28,685</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25,476</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2,562</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7,243</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8,356</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Capitalized software development costs, net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2,392</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3,479</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3,656</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1,610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1,610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328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1,586</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180" w:type="dxa"/>
            <w:vAlign w:val="bottom"/>
          </w:tcPr>
          <w:p>
            <w:pPr>
              <w:spacing w:after="0"/>
              <w:rPr>
                <w:sz w:val="14"/>
                <w:szCs w:val="14"/>
                <w:color w:val="auto"/>
              </w:rPr>
            </w:pPr>
          </w:p>
        </w:tc>
        <w:tc>
          <w:tcPr>
            <w:tcW w:w="12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9,330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9,330</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9,330</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65,651</w:t>
            </w:r>
          </w:p>
        </w:tc>
        <w:tc>
          <w:tcPr>
            <w:tcW w:w="5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50,559</w:t>
            </w:r>
          </w:p>
        </w:tc>
        <w:tc>
          <w:tcPr>
            <w:tcW w:w="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50,099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Liabilities, redeemable convertible preferred stock and stockholders’ deficit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2,200</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2,547</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1,094</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Accrued compensation costs</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2,968</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5,079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5,504</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accrued expenses</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4,976</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7,160</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8,890</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Capital lease obligations</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107</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rent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338</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15,716</w:t>
            </w:r>
          </w:p>
        </w:tc>
        <w:tc>
          <w:tcPr>
            <w:tcW w:w="180" w:type="dxa"/>
            <w:vAlign w:val="bottom"/>
          </w:tcPr>
          <w:p>
            <w:pPr>
              <w:spacing w:after="0"/>
              <w:rPr>
                <w:sz w:val="14"/>
                <w:szCs w:val="14"/>
                <w:color w:val="auto"/>
              </w:rPr>
            </w:pPr>
          </w:p>
        </w:tc>
        <w:tc>
          <w:tcPr>
            <w:tcW w:w="12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24,662</w:t>
            </w:r>
          </w:p>
        </w:tc>
        <w:tc>
          <w:tcPr>
            <w:tcW w:w="120" w:type="dxa"/>
            <w:vAlign w:val="bottom"/>
          </w:tcPr>
          <w:p>
            <w:pPr>
              <w:spacing w:after="0"/>
              <w:rPr>
                <w:sz w:val="14"/>
                <w:szCs w:val="14"/>
                <w:color w:val="auto"/>
              </w:rPr>
            </w:pPr>
          </w:p>
        </w:tc>
        <w:tc>
          <w:tcPr>
            <w:tcW w:w="11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29,299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26,305</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39,544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44,884</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Capital lease obligations, net of current portion</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203</w:t>
            </w:r>
          </w:p>
        </w:tc>
        <w:tc>
          <w:tcPr>
            <w:tcW w:w="120" w:type="dxa"/>
            <w:vAlign w:val="bottom"/>
          </w:tcPr>
          <w:p>
            <w:pPr>
              <w:spacing w:after="0"/>
              <w:rPr>
                <w:sz w:val="14"/>
                <w:szCs w:val="14"/>
                <w:color w:val="auto"/>
              </w:rPr>
            </w:pPr>
          </w:p>
        </w:tc>
        <w:tc>
          <w:tcPr>
            <w:tcW w:w="11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155</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Deferred rent, net of current portion</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1,015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2,523</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3,616</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Deferred revenue, net of current portion</w:t>
            </w:r>
          </w:p>
        </w:tc>
        <w:tc>
          <w:tcPr>
            <w:tcW w:w="200" w:type="dxa"/>
            <w:vAlign w:val="bottom"/>
          </w:tcPr>
          <w:p>
            <w:pPr>
              <w:spacing w:after="0"/>
              <w:rPr>
                <w:sz w:val="14"/>
                <w:szCs w:val="14"/>
                <w:color w:val="auto"/>
              </w:rPr>
            </w:pPr>
          </w:p>
        </w:tc>
        <w:tc>
          <w:tcPr>
            <w:tcW w:w="12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301</w:t>
            </w:r>
          </w:p>
        </w:tc>
        <w:tc>
          <w:tcPr>
            <w:tcW w:w="180" w:type="dxa"/>
            <w:vAlign w:val="bottom"/>
          </w:tcPr>
          <w:p>
            <w:pPr>
              <w:spacing w:after="0"/>
              <w:rPr>
                <w:sz w:val="14"/>
                <w:szCs w:val="14"/>
                <w:color w:val="auto"/>
              </w:rPr>
            </w:pPr>
          </w:p>
        </w:tc>
        <w:tc>
          <w:tcPr>
            <w:tcW w:w="12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244</w:t>
            </w:r>
          </w:p>
        </w:tc>
        <w:tc>
          <w:tcPr>
            <w:tcW w:w="120" w:type="dxa"/>
            <w:vAlign w:val="bottom"/>
          </w:tcPr>
          <w:p>
            <w:pPr>
              <w:spacing w:after="0"/>
              <w:rPr>
                <w:sz w:val="14"/>
                <w:szCs w:val="14"/>
                <w:color w:val="auto"/>
              </w:rPr>
            </w:pPr>
          </w:p>
        </w:tc>
        <w:tc>
          <w:tcPr>
            <w:tcW w:w="116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339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27,621</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42,514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48,994</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Commitments and contingencies (Note 8)</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Redeemable convertible preferred stock:</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Redeemable convertible preferred stock, $0.001 par value—authorized 58,589 shares;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designated, issued, and outstanding, 58,589 shares at December 31, 2012, 2013 and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March 31, 2014 (unaudited) (liquidation and redemption value of $97,407 at December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31, 2013 and March 31, 2014)</w:t>
            </w:r>
          </w:p>
        </w:tc>
        <w:tc>
          <w:tcPr>
            <w:tcW w:w="200" w:type="dxa"/>
            <w:vAlign w:val="bottom"/>
          </w:tcPr>
          <w:p>
            <w:pPr>
              <w:spacing w:after="0"/>
              <w:rPr>
                <w:sz w:val="16"/>
                <w:szCs w:val="16"/>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101,239</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101,293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101,305</w:t>
            </w:r>
          </w:p>
        </w:tc>
        <w:tc>
          <w:tcPr>
            <w:tcW w:w="5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Stockholders’ (deficit) equity:</w:t>
            </w: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Common stock, $0.001 par value—authorized, 100,000 shares; issued and outstanding,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15,011, 15,903, 17,011, and 75,600 at December 31, 2012, 2013, March 31, 2014</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(unaudited), and March 31, 2014 pro forma (unaudited), respectively</w:t>
            </w:r>
          </w:p>
        </w:tc>
        <w:tc>
          <w:tcPr>
            <w:tcW w:w="20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8,584</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12,887</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15,400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116,646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tcPr>
          <w:p>
            <w:pPr>
              <w:spacing w:after="0"/>
              <w:rPr>
                <w:sz w:val="14"/>
                <w:szCs w:val="14"/>
                <w:color w:val="auto"/>
              </w:rPr>
            </w:pPr>
          </w:p>
        </w:tc>
        <w:tc>
          <w:tcPr>
            <w:tcW w:w="126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tcPr>
          <w:p>
            <w:pPr>
              <w:spacing w:after="0"/>
              <w:rPr>
                <w:sz w:val="14"/>
                <w:szCs w:val="14"/>
                <w:color w:val="auto"/>
              </w:rPr>
            </w:pPr>
          </w:p>
        </w:tc>
        <w:tc>
          <w:tcPr>
            <w:tcW w:w="122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4"/>
                <w:szCs w:val="14"/>
                <w:color w:val="auto"/>
              </w:rPr>
            </w:pPr>
          </w:p>
        </w:tc>
        <w:tc>
          <w:tcPr>
            <w:tcW w:w="116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(71,798)</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(106,072)</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(115,537)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(115,537)</w:t>
            </w:r>
          </w:p>
        </w:tc>
        <w:tc>
          <w:tcPr>
            <w:tcW w:w="0" w:type="dxa"/>
            <w:vAlign w:val="bottom"/>
          </w:tcPr>
          <w:p>
            <w:pPr>
              <w:spacing w:after="0"/>
              <w:rPr>
                <w:sz w:val="1"/>
                <w:szCs w:val="1"/>
                <w:color w:val="auto"/>
              </w:rPr>
            </w:pPr>
          </w:p>
        </w:tc>
      </w:tr>
      <w:tr>
        <w:trPr>
          <w:trHeight w:val="169"/>
        </w:trPr>
        <w:tc>
          <w:tcPr>
            <w:tcW w:w="64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Total stockholders’ (deficit) equity</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(63,209)</w:t>
            </w:r>
          </w:p>
        </w:tc>
        <w:tc>
          <w:tcPr>
            <w:tcW w:w="5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(93,248)</w:t>
            </w:r>
          </w:p>
        </w:tc>
        <w:tc>
          <w:tcPr>
            <w:tcW w:w="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(100,200)</w:t>
            </w:r>
          </w:p>
        </w:tc>
        <w:tc>
          <w:tcPr>
            <w:tcW w:w="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redeemable convertible preferred stock and stockholders’ (deficit) equity</w:t>
            </w:r>
          </w:p>
        </w:tc>
        <w:tc>
          <w:tcPr>
            <w:tcW w:w="2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560"/>
              <w:spacing w:after="0" w:line="156" w:lineRule="exact"/>
              <w:rPr>
                <w:sz w:val="20"/>
                <w:szCs w:val="20"/>
                <w:color w:val="auto"/>
              </w:rPr>
            </w:pPr>
            <w:r>
              <w:rPr>
                <w:rFonts w:ascii="Times New Roman" w:cs="Times New Roman" w:eastAsia="Times New Roman" w:hAnsi="Times New Roman"/>
                <w:sz w:val="15"/>
                <w:szCs w:val="15"/>
                <w:color w:val="auto"/>
              </w:rPr>
              <w:t>65,651</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560"/>
              <w:spacing w:after="0" w:line="156" w:lineRule="exact"/>
              <w:rPr>
                <w:sz w:val="20"/>
                <w:szCs w:val="20"/>
                <w:color w:val="auto"/>
              </w:rPr>
            </w:pPr>
            <w:r>
              <w:rPr>
                <w:rFonts w:ascii="Times New Roman" w:cs="Times New Roman" w:eastAsia="Times New Roman" w:hAnsi="Times New Roman"/>
                <w:sz w:val="15"/>
                <w:szCs w:val="15"/>
                <w:color w:val="auto"/>
              </w:rPr>
              <w:t>50,559</w:t>
            </w:r>
          </w:p>
        </w:tc>
        <w:tc>
          <w:tcPr>
            <w:tcW w:w="1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560"/>
              <w:spacing w:after="0" w:line="156" w:lineRule="exact"/>
              <w:rPr>
                <w:sz w:val="20"/>
                <w:szCs w:val="20"/>
                <w:color w:val="auto"/>
              </w:rPr>
            </w:pPr>
            <w:r>
              <w:rPr>
                <w:rFonts w:ascii="Times New Roman" w:cs="Times New Roman" w:eastAsia="Times New Roman" w:hAnsi="Times New Roman"/>
                <w:sz w:val="15"/>
                <w:szCs w:val="15"/>
                <w:color w:val="auto"/>
              </w:rPr>
              <w:t>50,099</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54" w:lineRule="auto"/>
        <w:tabs>
          <w:tab w:leader="none" w:pos="4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adjusted for the retrospective change in accounting policy for sales commissions (See Note 2). F-3</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48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25,702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70,819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15,244</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77,634</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spacing w:after="0"/>
              <w:rPr>
                <w:sz w:val="18"/>
                <w:szCs w:val="18"/>
                <w:color w:val="auto"/>
              </w:rPr>
            </w:pPr>
          </w:p>
        </w:tc>
        <w:tc>
          <w:tcPr>
            <w:tcW w:w="11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5,712</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20,280</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6,368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8,759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16,473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48,595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10,031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24,088</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53,158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6,769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14,669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(24,415)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(34,250)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(24,411)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(34,274)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accretion</w:t>
            </w:r>
          </w:p>
        </w:tc>
        <w:tc>
          <w:tcPr>
            <w:tcW w:w="200" w:type="dxa"/>
            <w:vAlign w:val="bottom"/>
          </w:tcPr>
          <w:p>
            <w:pPr>
              <w:spacing w:after="0"/>
              <w:rPr>
                <w:sz w:val="18"/>
                <w:szCs w:val="18"/>
                <w:color w:val="auto"/>
              </w:rPr>
            </w:pPr>
          </w:p>
        </w:tc>
        <w:tc>
          <w:tcPr>
            <w:tcW w:w="11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dividends to investors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48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(34,328</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computing basic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00" w:type="dxa"/>
            <w:vAlign w:val="bottom"/>
          </w:tcPr>
          <w:p>
            <w:pPr>
              <w:spacing w:after="0"/>
              <w:rPr>
                <w:sz w:val="20"/>
                <w:szCs w:val="20"/>
                <w:color w:val="auto"/>
              </w:rPr>
            </w:pPr>
          </w:p>
        </w:tc>
        <w:tc>
          <w:tcPr>
            <w:tcW w:w="11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12,346</w:t>
            </w: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15,339</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15,107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 (unaudited)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common shares used in computing basic</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 net loss per common share (unaudited)</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73,928</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75,069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54" w:lineRule="auto"/>
        <w:tabs>
          <w:tab w:leader="none" w:pos="4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adjusted for the retrospective change in accounting policy for sales commissions (See Note 2). F-4</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(As adjusted)*</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(24,411)</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(18,778)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$(34,274)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(7,536)</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60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(34,343</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54" w:lineRule="auto"/>
        <w:tabs>
          <w:tab w:leader="none" w:pos="4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adjusted for the retrospective change in accounting policy for sales commissions (See Note 2). F-5</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$0.001 Par</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Deficit (As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2"/>
                <w:szCs w:val="12"/>
                <w:color w:val="auto"/>
              </w:rPr>
            </w:pPr>
          </w:p>
        </w:tc>
        <w:tc>
          <w:tcPr>
            <w:tcW w:w="104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33,788</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1,665</w:t>
            </w:r>
          </w:p>
        </w:tc>
        <w:tc>
          <w:tcPr>
            <w:tcW w:w="28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Repurchase right on unvested shares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common stock</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159</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in Performable acquisition</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465</w:t>
            </w:r>
          </w:p>
        </w:tc>
        <w:tc>
          <w:tcPr>
            <w:tcW w:w="28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on common shares issued in Performable</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D redeemable convertible preferred stock</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net of issuance costs of $153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Series D-1 redeemable convertible preferred</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redeemable convertible preferred stock to</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Deemed dividends to investors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2011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66,062</w:t>
            </w: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13,261</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1,481</w:t>
            </w:r>
          </w:p>
        </w:tc>
        <w:tc>
          <w:tcPr>
            <w:tcW w:w="28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common stock</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269</w:t>
            </w:r>
          </w:p>
        </w:tc>
        <w:tc>
          <w:tcPr>
            <w:tcW w:w="28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warrants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E redeemable convertible preferred stock</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net of issuance costs of $103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35,096</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redeemable convertible preferred stock to</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redemption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(18,778)</w:t>
            </w:r>
          </w:p>
        </w:tc>
        <w:tc>
          <w:tcPr>
            <w:tcW w:w="0" w:type="dxa"/>
            <w:vAlign w:val="bottom"/>
          </w:tcPr>
          <w:p>
            <w:pPr>
              <w:spacing w:after="0"/>
              <w:rPr>
                <w:sz w:val="1"/>
                <w:szCs w:val="1"/>
                <w:color w:val="auto"/>
              </w:rPr>
            </w:pPr>
          </w:p>
        </w:tc>
      </w:tr>
      <w:tr>
        <w:trPr>
          <w:trHeight w:val="204"/>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at December 31, 2012</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58,589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101,239</w:t>
            </w: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8,584</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690</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common stock</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redeemable convertible preferred stock to</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redemption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101,293</w:t>
            </w: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15,903</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(106,072)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 options (unaudited)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1,108</w:t>
            </w:r>
          </w:p>
        </w:tc>
        <w:tc>
          <w:tcPr>
            <w:tcW w:w="28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(unaudited)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 (unaudited)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redeemable convertible preferred stock to</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redemption (unaudited)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loss (unaudited)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2014 (unaudited)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101,305</w:t>
            </w: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17,011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(115,537)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(100,200)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-8255</wp:posOffset>
            </wp:positionV>
            <wp:extent cx="26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54" w:lineRule="auto"/>
        <w:tabs>
          <w:tab w:leader="none" w:pos="4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adjusted for the retrospective change in accounting policy for sales commissions (See Note 2). F-6</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(24,411)</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(18,778)</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(34,274)</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(7,536)</w:t>
            </w:r>
          </w:p>
        </w:tc>
        <w:tc>
          <w:tcPr>
            <w:tcW w:w="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2,736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4,472</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4,619</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3,464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rent expense</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(3,351)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commission expense</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4,147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4,259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3,720</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7,838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8,791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3,560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(12,529)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(19,808)</w:t>
            </w:r>
          </w:p>
        </w:tc>
        <w:tc>
          <w:tcPr>
            <w:tcW w:w="5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(4,358)</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cash acquired from acquisition</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technology</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(2,393)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(9,170)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Proceeds from issuance of redeemable convertible preferred stock, net of</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21,348</w:t>
            </w: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35,096</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issuance costs of $153 in 2011 and $103 in 2012</w:t>
            </w: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of deferred initial public offering costs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unvested shares of common stock</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capital lease obligations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21,380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35,335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514</w:t>
            </w:r>
          </w:p>
        </w:tc>
        <w:tc>
          <w:tcPr>
            <w:tcW w:w="5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7,017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(28,454)</w:t>
            </w: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(4,740)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6,955</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13,972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41,097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41,097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12,643</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end of period</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13,972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41,097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12,643</w:t>
            </w:r>
          </w:p>
        </w:tc>
        <w:tc>
          <w:tcPr>
            <w:tcW w:w="5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36,357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2"/>
                <w:szCs w:val="12"/>
                <w:color w:val="auto"/>
              </w:rPr>
            </w:pPr>
          </w:p>
        </w:tc>
        <w:tc>
          <w:tcPr>
            <w:tcW w:w="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under capital lease</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 incurred but not yet paid</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1,499</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Initial public offering costs incurred but not yet paid</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Series D-1 Preferred Stock for acquisition</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9,866</w:t>
            </w:r>
          </w:p>
        </w:tc>
        <w:tc>
          <w:tcPr>
            <w:tcW w:w="6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Accretion of Preferred Stock</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3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Deemed dividends to investors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6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54" w:lineRule="auto"/>
        <w:tabs>
          <w:tab w:leader="none" w:pos="4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adjusted for the retrospective change in accounting policy for sales commissions (See Note 2). F-7</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HubSpot, Inc. (the “Company”), was formed as a limited liability company in Delaware on April 4, 2005. The Company converted to a Delaware corporation on June 7, 2007. The Company provides a cloud-based inbound marketing and sales platform which features integrated applications to help businesses attract visitors to their websites, convert visitors into leads, close leads into customers and delight customers so they become promoters of those businesses. These integrated applications include social media, search engine optimization, blogging, website content management, marketing automation, email, analytics and reporting.</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Company is headquartered in Cambridge, Massachusetts, and has a wholly-owned subsidiary in Dublin, Ireland, which commenced operations in January of 2013.</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Company has incurred net losses since inception and has an accumulated deficit of $116 million and negative working capital of $19 million as of March 31, 2014 (unaudited).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financed its operations to date primarily with cash receipts from customers and the proceeds from the sale of redeemable convertible preferred stock. The Company will continue to require additional capital to move forward with its business plan. While the Company does have borrowings of $35.0 million available (Note 14), there can be no assurance that funds necessary beyond these amounts will be available in amounts or on terms sufficient to ensure ongoing operations. However, the Company’s management believes that the March 31, 2014 cash balance, when combined with proceeds from the available borrowings, will be sufficient to fund the Company’s operations through June 30,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consolidated financial statements have been prepared in U.S. dollars, in accordance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The accompanying consolidated financial statements include the accounts of the Company and its wholly owned subsidiary. All intercompany transactions have been eliminated in consolidation.</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Unaudited Pro Forma Information</w:t>
      </w:r>
      <w:r>
        <w:rPr>
          <w:rFonts w:ascii="Times New Roman" w:cs="Times New Roman" w:eastAsia="Times New Roman" w:hAnsi="Times New Roman"/>
          <w:sz w:val="18"/>
          <w:szCs w:val="18"/>
          <w:color w:val="auto"/>
        </w:rPr>
        <w:t>—Upon the completion of the Company’s initial public offering (“IPO”), all outstanding redeemable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will automatically convert into shares of our common stock. The unaudited pro forma balance sheet information gives effect to the conversion of the convertible preferred stock as of March 31, 2014. The effect of this conversion on the pro forma balance sheet will reduce stockholders’ deficit by $101.3 million. As described in Note 10 Stockholders’ Deficit and Stock-Based Compensation below, the Company grants restricted stock units (“RSUs”) with a performance measure that will be met six months following an IPO or sale event. As the RSUs will not be vested as of the IPO date, there is no impact to the pro forma balance sheet. Additionally, as discussed in the “Loss per Share” accounting policy below, the Company calculated unaudited pro forma basic and diluted loss per share to give effect to the convertible redeemable preferred stock as though such shares had been converted to common shares as of the beginning of the period.</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Unaudited Interim Financial Information</w:t>
      </w:r>
      <w:r>
        <w:rPr>
          <w:rFonts w:ascii="Times New Roman" w:cs="Times New Roman" w:eastAsia="Times New Roman" w:hAnsi="Times New Roman"/>
          <w:sz w:val="18"/>
          <w:szCs w:val="18"/>
          <w:color w:val="auto"/>
        </w:rPr>
        <w:t>—The accompanying interim consolidated balance sheet as of March 31, 2014 and the consolidated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operations, statements of comprehensive loss and cash flows during the three months ended March 31, 2013 and 2014 are unaudited. The unaudited interim consolidated financial statements have been prepared on a basis consistent with the annual consolidated financial statements and, in the opinion of management, reflect all adjustments necessary to present fairly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Company’s consolidated financial position as of March 31, 2014 and its consolidated statements of operations and comprehensive loss and cash flows during the three months ended March 31, 2013 and 2014. The financial data and other financial information disclosed in these notes to the consolidated financial statements related to the three months ended March 31, 2013 and 2014 are also unaudited.</w:t>
      </w:r>
    </w:p>
    <w:p>
      <w:pPr>
        <w:spacing w:after="0" w:line="172"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71"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Change in Accounting Policy</w:t>
      </w:r>
      <w:r>
        <w:rPr>
          <w:rFonts w:ascii="Times New Roman" w:cs="Times New Roman" w:eastAsia="Times New Roman" w:hAnsi="Times New Roman"/>
          <w:sz w:val="18"/>
          <w:szCs w:val="18"/>
          <w:color w:val="auto"/>
        </w:rPr>
        <w:t>—On January 1, 2013, the Company elected to change its accounting policy for sales commissions related to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subscription contracts, from recording expense when incurred, to the deferral of sales commissions that relate to contractually recurring revenues, and amortizing those sales commissions over the contractual term of the associated customer contracts. The Company believes the deferral method described above is preferable primarily because the sales commission charges are so closely related to obtaining the revenue from the contracts that they should be deferred and charged to expense over the same period that the related revenue is recognized. The comparative financial statements of prior years have been adjusted to apply the new policy retrospectively.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amortization of deferred commissions is included in sales and marketing in the accompanying consolidated statements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reflect the impact of this change in accounting policy in previously reported periods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60" w:type="dxa"/>
            <w:vAlign w:val="bottom"/>
          </w:tcPr>
          <w:p>
            <w:pPr>
              <w:spacing w:after="0"/>
              <w:rPr>
                <w:sz w:val="10"/>
                <w:szCs w:val="10"/>
                <w:color w:val="auto"/>
              </w:rPr>
            </w:pPr>
          </w:p>
        </w:tc>
        <w:tc>
          <w:tcPr>
            <w:tcW w:w="126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80" w:type="dxa"/>
            <w:vAlign w:val="bottom"/>
          </w:tcPr>
          <w:p>
            <w:pPr>
              <w:spacing w:after="0"/>
              <w:rPr>
                <w:sz w:val="10"/>
                <w:szCs w:val="10"/>
                <w:color w:val="auto"/>
              </w:rPr>
            </w:pPr>
          </w:p>
        </w:tc>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3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 expense</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47,687</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62,815</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65,651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7"/>
              </w:rPr>
              <w:t>(74,634)</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(71,798)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62,815</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65,651</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9"/>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9"/>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2011</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360" w:type="dxa"/>
            <w:vAlign w:val="bottom"/>
          </w:tcPr>
          <w:p>
            <w:pPr>
              <w:spacing w:after="0"/>
              <w:rPr>
                <w:sz w:val="10"/>
                <w:szCs w:val="10"/>
                <w:color w:val="auto"/>
              </w:rPr>
            </w:pPr>
          </w:p>
        </w:tc>
        <w:tc>
          <w:tcPr>
            <w:tcW w:w="10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w:t>
            </w:r>
          </w:p>
        </w:tc>
        <w:tc>
          <w:tcPr>
            <w:tcW w:w="160" w:type="dxa"/>
            <w:vAlign w:val="bottom"/>
          </w:tcPr>
          <w:p>
            <w:pPr>
              <w:spacing w:after="0"/>
              <w:rPr>
                <w:sz w:val="10"/>
                <w:szCs w:val="10"/>
                <w:color w:val="auto"/>
              </w:rPr>
            </w:pPr>
          </w:p>
        </w:tc>
        <w:tc>
          <w:tcPr>
            <w:tcW w:w="6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80" w:type="dxa"/>
            <w:vAlign w:val="bottom"/>
          </w:tcPr>
          <w:p>
            <w:pPr>
              <w:spacing w:after="0"/>
              <w:rPr>
                <w:sz w:val="10"/>
                <w:szCs w:val="10"/>
                <w:color w:val="auto"/>
              </w:rPr>
            </w:pPr>
          </w:p>
        </w:tc>
        <w:tc>
          <w:tcPr>
            <w:tcW w:w="118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160" w:type="dxa"/>
            <w:vAlign w:val="bottom"/>
          </w:tcPr>
          <w:p>
            <w:pPr>
              <w:spacing w:after="0"/>
              <w:rPr>
                <w:sz w:val="10"/>
                <w:szCs w:val="10"/>
                <w:color w:val="auto"/>
              </w:rPr>
            </w:pPr>
          </w:p>
        </w:tc>
        <w:tc>
          <w:tcPr>
            <w:tcW w:w="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$ 25,531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$ 24,088</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$ 34,959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$(25,858)</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1,443</w:t>
            </w: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$(24,415)</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$(18,750)</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$(18,740)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$(25,854)</w:t>
            </w: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1,443</w:t>
            </w:r>
          </w:p>
        </w:tc>
        <w:tc>
          <w:tcPr>
            <w:tcW w:w="14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(24,411)</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$(18,788)</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$(18,778)</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$(25,854)</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1,443</w:t>
            </w: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(24,411)</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$(18,798)</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$(18,788)</w:t>
            </w:r>
          </w:p>
        </w:tc>
        <w:tc>
          <w:tcPr>
            <w:tcW w:w="0" w:type="dxa"/>
            <w:vAlign w:val="bottom"/>
          </w:tcPr>
          <w:p>
            <w:pPr>
              <w:spacing w:after="0"/>
              <w:rPr>
                <w:sz w:val="1"/>
                <w:szCs w:val="1"/>
                <w:color w:val="auto"/>
              </w:rPr>
            </w:pPr>
          </w:p>
        </w:tc>
      </w:tr>
      <w:tr>
        <w:trPr>
          <w:trHeight w:val="373"/>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8"/>
          </w:tcPr>
          <w:p>
            <w:pPr>
              <w:jc w:val="center"/>
              <w:ind w:right="74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2011</w:t>
            </w:r>
          </w:p>
        </w:tc>
        <w:tc>
          <w:tcPr>
            <w:tcW w:w="44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360" w:type="dxa"/>
            <w:vAlign w:val="bottom"/>
          </w:tcPr>
          <w:p>
            <w:pPr>
              <w:spacing w:after="0"/>
              <w:rPr>
                <w:sz w:val="10"/>
                <w:szCs w:val="10"/>
                <w:color w:val="auto"/>
              </w:rPr>
            </w:pPr>
          </w:p>
        </w:tc>
        <w:tc>
          <w:tcPr>
            <w:tcW w:w="10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w:t>
            </w:r>
          </w:p>
        </w:tc>
        <w:tc>
          <w:tcPr>
            <w:tcW w:w="160" w:type="dxa"/>
            <w:vAlign w:val="bottom"/>
          </w:tcPr>
          <w:p>
            <w:pPr>
              <w:spacing w:after="0"/>
              <w:rPr>
                <w:sz w:val="10"/>
                <w:szCs w:val="10"/>
                <w:color w:val="auto"/>
              </w:rPr>
            </w:pPr>
          </w:p>
        </w:tc>
        <w:tc>
          <w:tcPr>
            <w:tcW w:w="6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80" w:type="dxa"/>
            <w:vAlign w:val="bottom"/>
          </w:tcPr>
          <w:p>
            <w:pPr>
              <w:spacing w:after="0"/>
              <w:rPr>
                <w:sz w:val="10"/>
                <w:szCs w:val="10"/>
                <w:color w:val="auto"/>
              </w:rPr>
            </w:pPr>
          </w:p>
        </w:tc>
        <w:tc>
          <w:tcPr>
            <w:tcW w:w="118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160" w:type="dxa"/>
            <w:vAlign w:val="bottom"/>
          </w:tcPr>
          <w:p>
            <w:pPr>
              <w:spacing w:after="0"/>
              <w:rPr>
                <w:sz w:val="10"/>
                <w:szCs w:val="10"/>
                <w:color w:val="auto"/>
              </w:rPr>
            </w:pPr>
          </w:p>
        </w:tc>
        <w:tc>
          <w:tcPr>
            <w:tcW w:w="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280" w:type="dxa"/>
            <w:vAlign w:val="bottom"/>
          </w:tcPr>
          <w:p>
            <w:pPr>
              <w:spacing w:after="0"/>
              <w:rPr>
                <w:sz w:val="12"/>
                <w:szCs w:val="12"/>
                <w:color w:val="auto"/>
              </w:rPr>
            </w:pPr>
          </w:p>
        </w:tc>
        <w:tc>
          <w:tcPr>
            <w:tcW w:w="8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$(25,854)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7"/>
              </w:rPr>
              <w:t>$(24,411)</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$(18,788)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commission expense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(1,443)</w:t>
            </w: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(1,443)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46"/>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2011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00" w:type="dxa"/>
            <w:vAlign w:val="bottom"/>
          </w:tcPr>
          <w:p>
            <w:pPr>
              <w:spacing w:after="0"/>
              <w:rPr>
                <w:sz w:val="10"/>
                <w:szCs w:val="10"/>
                <w:color w:val="auto"/>
              </w:rPr>
            </w:pPr>
          </w:p>
        </w:tc>
        <w:tc>
          <w:tcPr>
            <w:tcW w:w="12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0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2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300" w:type="dxa"/>
            <w:vAlign w:val="bottom"/>
          </w:tcPr>
          <w:p>
            <w:pPr>
              <w:spacing w:after="0"/>
              <w:rPr>
                <w:sz w:val="15"/>
                <w:szCs w:val="15"/>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$(29,991)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1,382</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$(28,609)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Operating Segments</w:t>
      </w:r>
      <w:r>
        <w:rPr>
          <w:rFonts w:ascii="Times New Roman" w:cs="Times New Roman" w:eastAsia="Times New Roman" w:hAnsi="Times New Roman"/>
          <w:sz w:val="18"/>
          <w:szCs w:val="18"/>
          <w:color w:val="auto"/>
        </w:rPr>
        <w:t>—The Company operates as one operating segment. Operating segments are defined as components of an enterprise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Historical Loss Per Share</w:t>
      </w:r>
      <w:r>
        <w:rPr>
          <w:rFonts w:ascii="Times New Roman" w:cs="Times New Roman" w:eastAsia="Times New Roman" w:hAnsi="Times New Roman"/>
          <w:sz w:val="18"/>
          <w:szCs w:val="18"/>
          <w:color w:val="auto"/>
        </w:rPr>
        <w:t>—Basic net loss per share attributable to common stockholders is computed by dividing net loss attributable to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by the weighted average number of common shares outstanding for the period. Diluted net loss per share attributable to common stockholders is computed by giving effect to all potential dilutive common stock equivalents outstanding for the period. For purposes of this calculation, options to purchase common stock, nonvested shares of restricted stock, restricted stock units and redeemable convertible preferred stock are considered to be common stock equivalents. The Company applied the two-class method to calculate its basic and diluted net loss per share of common stock, as its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loss position for each of the periods presented and preferred stockholders do not participate in losses.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denominator used in the calculation of basic and diluted loss per share is as follows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8"/>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8"/>
            <w:vMerge w:val="continue"/>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(25,471)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(18,859)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(34,328)</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share equivalents resulting from stock options, warrants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redeemable convertible preferred shares (as converted)</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F-10</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For the years ended December 2011, 2012 and 2013, and the three months ended March 31, 2013 and 2014 (unaudited), the Company incurred net losses and, therefore, the effect of the Company’s outstanding stock options, common stock warrant, redeemable convertible preferred stock and nonvested shares of restricted stock was not included in the calculation of diluted loss per share as the effect would be anti-dilutive. The following table contains share totals with a potentially dilutive impact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26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2260" w:type="dxa"/>
            <w:vAlign w:val="bottom"/>
            <w:gridSpan w:val="6"/>
            <w:vMerge w:val="continue"/>
          </w:tcPr>
          <w:p>
            <w:pPr>
              <w:spacing w:after="0"/>
              <w:rPr>
                <w:sz w:val="15"/>
                <w:szCs w:val="15"/>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7,937</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12,642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shares (as converted)</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52,322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58,589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58,589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58,589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58,589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Unaudited Pro Forma Loss Per Share</w:t>
      </w:r>
      <w:r>
        <w:rPr>
          <w:rFonts w:ascii="Times New Roman" w:cs="Times New Roman" w:eastAsia="Times New Roman" w:hAnsi="Times New Roman"/>
          <w:sz w:val="18"/>
          <w:szCs w:val="18"/>
          <w:color w:val="auto"/>
        </w:rPr>
        <w:t>—Upon closing of the proposed IPO, all shares of redeemable convertible preferred stock will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into 58,589 thousand shares of common stock. The unaudited pro forma net loss per common share, basic and diluted, for the year ended December 31, 2013 and the three months ended March 31, 2014 has been computed to give effect to the redeemable convertible preferred stock as if such shares had been converted to common stock as of the beginning of the period.</w:t>
      </w:r>
    </w:p>
    <w:p>
      <w:pPr>
        <w:spacing w:after="0" w:line="18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unaudited pro forma basic and diluted loss per share is as follows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4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(34,328)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preferred stock to redemption value</w:t>
            </w:r>
          </w:p>
        </w:tc>
        <w:tc>
          <w:tcPr>
            <w:tcW w:w="1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15"/>
                <w:szCs w:val="15"/>
                <w:color w:val="auto"/>
              </w:rPr>
              <w:t>(1)</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60" w:type="dxa"/>
            <w:vAlign w:val="bottom"/>
          </w:tcPr>
          <w:p>
            <w:pPr>
              <w:spacing w:after="0"/>
              <w:rPr>
                <w:sz w:val="18"/>
                <w:szCs w:val="18"/>
                <w:color w:val="auto"/>
              </w:rPr>
            </w:pPr>
          </w:p>
        </w:tc>
        <w:tc>
          <w:tcPr>
            <w:tcW w:w="21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15,339</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adjustment for assumed conversion of redeemable convertible preferred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to common stock upon the closing of the proposed IPO</w:t>
            </w:r>
          </w:p>
        </w:tc>
        <w:tc>
          <w:tcPr>
            <w:tcW w:w="1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58,589</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Number of shares used for pro forma basic EPS computation</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share equivalents resulting from stock options and warrants</w:t>
            </w:r>
          </w:p>
        </w:tc>
        <w:tc>
          <w:tcPr>
            <w:tcW w:w="1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shares used for pro forma dilutive EPS computation</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line="289" w:lineRule="auto"/>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stock-based compensation related to RSUs because it was not probable that the performance condition contained in such grants would be met as of December 31, 2013 or March 31, 2014. If it were probable that the performance condition would be met as of December 31, 2013 or March 31, 2014, the Company would have recognized $5.2 million or $6.7 million of stock-based compensation expense, respectively, net of estimated forfeitures.</w:t>
      </w:r>
    </w:p>
    <w:p>
      <w:pPr>
        <w:spacing w:after="0" w:line="154" w:lineRule="exact"/>
        <w:rPr>
          <w:sz w:val="20"/>
          <w:szCs w:val="20"/>
          <w:color w:val="auto"/>
        </w:rPr>
      </w:pPr>
    </w:p>
    <w:p>
      <w:pPr>
        <w:ind w:right="3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—The Company had restricted cash of $2.0 million at March 31, 2014 which includes $1.8 million for letters of credit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leased facilities and $220 thousand in collateral for the Company’s corporate credit card borrowings (unaudited). The Company had restricted cash of $1.9 million at December 31, 2013 which includes $1.8 million for letters of credit for the Company’s leased facilities and $157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thousand in collateral for the Company’s corporate credit card borrowings. The Company had restricted cash of $650 thousand at December 31, 2012 which includes $560 thousand for letters of credit for the Company’s headquarters and $90 thousand in collateral for the Company’s corporate credit card borrowings. Short term restricted cash was $450 thousand at December 31, 2012, $307 thousand at December 31, 2013, and $370 thousand at March 31, 2014 (unaudited). These amounts are classified as short term as the restrictions on the cash lapse within one year from the respective balance sheet dates.</w:t>
      </w:r>
    </w:p>
    <w:p>
      <w:pPr>
        <w:spacing w:after="0" w:line="176"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r>
        <w:rPr>
          <w:rFonts w:ascii="Times New Roman" w:cs="Times New Roman" w:eastAsia="Times New Roman" w:hAnsi="Times New Roman"/>
          <w:sz w:val="18"/>
          <w:szCs w:val="18"/>
          <w:color w:val="auto"/>
        </w:rPr>
        <w:t>—Accounts receivable are carried at the original invoiced amount less an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doubtful accounts based on the probability of future collection. When management becomes aware of circumstances that may decrease the likelihood of collection, it records a specific allowance against amounts due, which reduces the receivable to the amount that management reasonably believes will be collected. For all other customers, management determines the adequacy of the allowance based on historical loss patterns, the number of days that billings are past due and an evaluation of the potential risk of loss associated with specific accounts. To date, losses resulting from uncollected receivables have not exceeded management’s expectations.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rollforward of the Company’s allowance for doubtful accounts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costs or</w:t>
            </w:r>
          </w:p>
        </w:tc>
        <w:tc>
          <w:tcPr>
            <w:tcW w:w="3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7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7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7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March 31, 2014 (unaudited)</w:t>
            </w:r>
          </w:p>
        </w:tc>
        <w:tc>
          <w:tcPr>
            <w:tcW w:w="17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include actual accounts written-off, net of recoveries.</w:t>
      </w:r>
    </w:p>
    <w:p>
      <w:pPr>
        <w:spacing w:after="0" w:line="221"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and depreciated using the straight-line method over the estimated useful lives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lease term or useful life</w:t>
            </w:r>
          </w:p>
        </w:tc>
      </w:tr>
    </w:tbl>
    <w:p>
      <w:pPr>
        <w:spacing w:after="0" w:line="175"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—The Company’s short-term financial instruments include accounts receivable, accounts payable and accrued expenses and are carried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consolidated financial statements as of December 31, 2012 and 2013, and as of March 31, 2014 (unaudited) at amounts that approximate fair value due to their short-term maturity dates.</w:t>
      </w:r>
    </w:p>
    <w:p>
      <w:pPr>
        <w:spacing w:after="0" w:line="171" w:lineRule="exact"/>
        <w:rPr>
          <w:sz w:val="20"/>
          <w:szCs w:val="20"/>
          <w:color w:val="auto"/>
        </w:rPr>
      </w:pPr>
    </w:p>
    <w:p>
      <w:pPr>
        <w:jc w:val="both"/>
        <w:ind w:right="12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17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—Goodwill represents the excess of cost over the fair value of the net tangible and identifiable intangible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has no other intangible assets with indefinite useful lives.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entity level as it is determined there is only one reporting unit. The Company performs a two step impairment test. In the first step, the fair value of each reporting unit is compared to its carrying amount. If the fair value exceeds the carrying value of the net assets assigned, goodwill is not considered impaired and the second step is not required. If the carrying value exceeds the fair value, then the second step of the impairment test is performed in order to determine the implied fair value of the reporting unit’s goodwill. If the carrying value of the goodwill exceeds the fair value, then an impairment charge is recorded. On November 30, 2013, the estimated fair value of the Company’s single reporting unit exceeded its carrying amount. Because the fair value of the Company’s single reporting unit was in excess of its carrying value and there were no indicators that the Company’s goodwill had become impaired since that date, there was no impairment as of November 30, 2013 through December 31, 2013.</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2011, 2012 and 2013, the Company did not recognize an impairment charge.</w:t>
      </w:r>
    </w:p>
    <w:p>
      <w:pPr>
        <w:spacing w:after="0" w:line="221"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—The Company expenses advertising as incurred, which is included in sales and marketing expense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The Company incurred $3.4 million of advertising expense in 2011, $3.0 million in 2012, $3.5 million in 2013, $957 thousand in the three months ended March 31, 2013 (unaudited), and $791 thousand in the three months ended March 31, 2014 (unaudited).</w:t>
      </w:r>
    </w:p>
    <w:p>
      <w:pPr>
        <w:spacing w:after="0" w:line="171"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primarily generates revenue from multi-element arrangements, which typically include subscriptions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software solution and professional services which includes training and other consulting services. The Company’s customers do not have the right to take possession of the online software solution. The Company recognizes revenue when all of the following have occurred:</w:t>
      </w:r>
    </w:p>
    <w:p>
      <w:pPr>
        <w:spacing w:after="0" w:line="80" w:lineRule="exact"/>
        <w:rPr>
          <w:sz w:val="20"/>
          <w:szCs w:val="20"/>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with the customer exists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has been or is being provided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are fixed or determinable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of the fees is reasonably assured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arrangements do not contain general rights of return.</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In order to treat elements in a multiple-element arrangement as separate units of accounting, the delivered elements must have standalone value and delivery of the undelivered element is probable and within control of the Company.</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has determined that subscriptions for its online software solution have standalone value because, once a customer launches its initial site, the online software solution is fully functional and does not require any additional development, modification, or customization.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Professional services consists primarily of web-based and in-person training, are not required to use the online software solution, and are determined to have stand-alone value from the related subscription services because they are sold separately by the Company and third parties.</w:t>
      </w:r>
    </w:p>
    <w:p>
      <w:pPr>
        <w:spacing w:after="0" w:line="162" w:lineRule="exact"/>
        <w:rPr>
          <w:sz w:val="20"/>
          <w:szCs w:val="20"/>
          <w:color w:val="auto"/>
        </w:rPr>
      </w:pPr>
    </w:p>
    <w:p>
      <w:pPr>
        <w:ind w:right="520" w:firstLine="456"/>
        <w:spacing w:after="0" w:line="261" w:lineRule="auto"/>
        <w:rPr>
          <w:sz w:val="20"/>
          <w:szCs w:val="20"/>
          <w:color w:val="auto"/>
        </w:rPr>
      </w:pPr>
      <w:r>
        <w:rPr>
          <w:rFonts w:ascii="Times New Roman" w:cs="Times New Roman" w:eastAsia="Times New Roman" w:hAnsi="Times New Roman"/>
          <w:sz w:val="18"/>
          <w:szCs w:val="18"/>
          <w:color w:val="auto"/>
        </w:rPr>
        <w:t>When multiple element arrangements are separated into different units of accounting, the arrangement consideration is allocated to the identified separate units based on a relative selling price hierarchy. The estimated fair value of each element is determined based upon the following hierarchy:</w:t>
      </w:r>
    </w:p>
    <w:p>
      <w:pPr>
        <w:ind w:firstLine="8"/>
        <w:spacing w:after="0" w:line="252"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specific objective evidence (“VSOE”) of fair value, (2) third party evidence of selling price (“TPE”), or (3) the Company’s best estimate of selling price (“BESP”). The Company is not able to establish VSOE of fair value for undelivered elements, which in most instances is subscription and training and professional services, based on its pricing practices, and there is not a reliable measure of TPE of selling price. As such, arrangement consideration is allocated amongst multiple deliverable arrangements using BESP. The Company establishes BESP for each deliverable primarily considering the median of actual sales prices of each type of subscription and other consulting services sold. The Company considers each type of subscription and service as well as pricing and geographic information when establishing BESP. Arrangement consideration is allocated such that the revenue recognized does not exceed the fee subject to refund.</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Revenue from subscriptions is recognized ratably over the subscription period beginning on the date the Company’s subscription is made available to customers. Substantially all subscription contracts are one year or less. The Company recognizes revenue from training and consulting services as the services are provided.</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pays its marketing agency partners a commission of the subscription sales price for sales to customers. The classification of the commission paid on the Company’s consolidated statements of operations depends on who is purchasing its subscription. In instances where the customer is purchasing the subscription, the Company is the primary obligor and records the commission paid to the agency partner as sales and marketing expense. When the agency partner purchases the subscription directly from the Company, the Company nets the consideration paid to the partner against the associated revenue it recognizes, as in these instances the Company’s customer is the partner and the Company’s remaining obligations are to the partner. The Company does not believe that it receives a tangible benefit from the payment back to the partner.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 authorities are excluded from revenue.</w:t>
      </w:r>
    </w:p>
    <w:p>
      <w:pPr>
        <w:spacing w:after="0" w:line="225"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w:t>
      </w:r>
    </w:p>
    <w:p>
      <w:pPr>
        <w:spacing w:after="0" w:line="172"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r>
        <w:rPr>
          <w:rFonts w:ascii="Times New Roman" w:cs="Times New Roman" w:eastAsia="Times New Roman" w:hAnsi="Times New Roman"/>
          <w:sz w:val="18"/>
          <w:szCs w:val="18"/>
          <w:color w:val="auto"/>
        </w:rPr>
        <w:t>—Financial instruments that potentially expose the Company to concentrations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restricted cash and accounts receivable.</w:t>
      </w:r>
    </w:p>
    <w:p>
      <w:pPr>
        <w:spacing w:after="0" w:line="15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 significant portion of the Company’s cash is held at one financial institution that management believes to be of high credit quality. Although the Company deposits it cash with multiple financial institutions, its deposits exceed federally insured limits.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hedging arrangements.</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2012 and 2013, and at March 31, 2014 (unaudited), there were no customers that represented more than 10% of the net accounts receivable balance. There were no customers that individually exceeded 10% of the Company’s revenue in any of the periods presented.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00"/>
          </w:cols>
          <w:pgMar w:left="240" w:top="455"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—The functional currency of the Company’s foreign subsidiary is the local currency. Assets and liabilities denominated in a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are translated into U.S. dollars at the exchange rates in effect at the balance sheet dates; with the resulting translation adjustments directly recorded to a separate component of accumulated other comprehensive income (loss). Income and expense accounts are translated at the weighted-average exchange rates during the period. Equity transactions are translated at historical exchange rates. Foreign currency transaction gains and losses are recorded in other income (expense).</w:t>
      </w:r>
    </w:p>
    <w:p>
      <w:pPr>
        <w:spacing w:after="0" w:line="180"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—Research and development expenses include payroll, employee benefits and other expenses associated with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w:t>
      </w:r>
    </w:p>
    <w:p>
      <w:pPr>
        <w:spacing w:after="0" w:line="15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Capitalized Software Development Costs</w:t>
      </w:r>
      <w:r>
        <w:rPr>
          <w:rFonts w:ascii="Times New Roman" w:cs="Times New Roman" w:eastAsia="Times New Roman" w:hAnsi="Times New Roman"/>
          <w:sz w:val="18"/>
          <w:szCs w:val="18"/>
          <w:color w:val="auto"/>
        </w:rPr>
        <w:t>—Certain payroll and stock compensation costs incurred to develop functionality for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platform, as well as certain upgrades and enhancements that are expected to result in increased functionality are capitalized. The costs incurred in the preliminary stages of development are expensed as incurred. Once an application has reached the development stage, certain internal costs are capitalized until the software is substantially complete and ready for its intended use. Capitalized software development costs are amortized on a straight-line basis over their estimated useful life of two years. Management evaluates the useful lives of these assets on an annual basis and tests for impairment whenever events or changes in circumstances occur that could impact the recoverability of these assets.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software development costs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capitalized software development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9,351</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(3,254)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3,479</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capitalized software development costs of $1.7 million in 2011, $2.4 million in 2012, $3.7 million in 2013, $918 thousand in the three months ended March 31, 2013 (unaudited) and $1.0 million in the three months ended March 31, 2014 (unaudited). Stock-based compensation costs included in capitalized software were negligible in 2011, $100 thousand in 2012, $273 thousand in 2013, $68 thousand in the three months ended March 31, 2013 (unaudited) and $51 thousand in the three months ended March 31, 2014 (unaudited).</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Amortization of capitalized software development costs was $857 thousand in 2011, $1.5 million in 2012, $2.6 million in 2013, $573 thousand in the three months ended March 31, 2013 (unaudited) and $828 thousand in the three months ended March 31, 2014 (unaudited). Amortization expense is included in cost of revenue in the consolidated statements of operations.</w:t>
      </w:r>
    </w:p>
    <w:p>
      <w:pPr>
        <w:spacing w:after="0" w:line="172"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—Deferred tax assets and liabilities are recognized for the differences between the financial statement carrying amounts and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7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based on a determination of whether and how much of a tax benefit taken by the Company in its tax filings or positions is more likely than not to be realized following resolution of any potential contingencies present related to the tax benefit. Potential interest and penalties associated with such uncertain tax positions are recorded as a component of income tax expense.</w:t>
      </w:r>
    </w:p>
    <w:p>
      <w:pPr>
        <w:spacing w:after="0" w:line="176"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accounts for all stock options and awards granted to employees and nonemployees using a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Stock-based compensation is recognized as an expense and is measured at the fair value of the award. The measurement date for employee awards is generally the date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grant. The measurement date for nonemployee awards is generally the date the options vest. Stock-based compensation costs are recognized as expense over the requisite service period, which is generally the vesting period for awards, on a straight-line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as of December 31, 2012 and 2013 and March 31, 2014 (unaudited) consists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$ 1,321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1,504</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7,268</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and equipment under capital lease</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r>
        <w:trPr>
          <w:trHeight w:val="223"/>
        </w:trPr>
        <w:tc>
          <w:tcPr>
            <w:tcW w:w="8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11,007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Pr>
          <w:p>
            <w:pPr>
              <w:spacing w:after="0"/>
              <w:rPr>
                <w:sz w:val="19"/>
                <w:szCs w:val="19"/>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(3,764)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(4,316)</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$ 2,562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0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Depreciation expense was $903 thousand in 2011, $988 thousand in 2012, $1.5 million in 2013, $310 thousand in the three months ended March 31, 2013 (unaudited) and $553 thousand in the three months ended March 31, 2014 (unaudited).</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Accumulated depreciation for equipment under capital lease was $153 thousand as of December 31, 2012 $272 thousand as of December 31, 2013 and $252 thousand as of March 31, 2014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On June 15, 2011, the Company acquired 100% of the equity of Performable, Inc. (“Performable”), a privately held software company located in Massachusetts. The Company completed this transaction in order to expand its product offerings and to expand the skillset of its employee base. The consideration paid for Performable included $3.4 million of cash and 3,737,028 shares of Series D-1 Redeemable Convertible Preferred Stock (“Series D-1”) with a fair value of $9.9 million. Additionally, the Company issued 1,126,002 shares of common stock with a fair value of $2.1 million, of which</w:t>
      </w:r>
    </w:p>
    <w:p>
      <w:pPr>
        <w:spacing w:after="0" w:line="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465,063 fully vested shares of common stock with a fair value of $884 thousand is included in the purchase price and 660,939 unvested shares of common stock with a fair value of $1.3 million is being recorded as compensation expense over the vesting period. The Company also issued 108,487 stock options with a weighted-average vesting term of 2.5 years, exercise prices that range from $0.29 to $0.71 per share and a fair value of $165 thousand of which $83 thousand is included as part of the purchase price and $82 thousand is being recorded as compensation expense over the vesting period.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Additionally, the Company is required to pay an additional $3.1 million of bonus payments over a three-year period to certain of the Performable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provided they meet certain service conditions. The Company is recording these bonus payments as compensation expense over the related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Accrued amounts related to these additional bonus payments were included in accrued compensation costs and were $541 thousand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and 2013, and $790 thousand as of March 31, 2014 (unaudited). The Company incurred transaction costs of $376 thousand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acquisition, which were included in general and administrative expenses in 2011. The acquisition has been accounted for under the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accounting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acquisition method of accounting, the Company allocated the purchase price to the identifiable assets and liabilities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estimated fair value at the date of acquisition.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purchase price and allocation for the acquisition of the Performable assets and liabilities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D-1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(4,379)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Identifiable assets acquired and liabilities assumed: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was determined using the relief from royalty method. The relief from royalty method assesses the royalty savings an entity realizes since it owns the asset and does not have to pay a license fee to a third-party for its use. The developed technology is being amortized over its estimated useful life of three years, the period in which a substantial portion of the present value of the cash flows from the developed technology are expected to be earned.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depreciable property and equipment is being depreciated over their useful lives on a straight-line basis.</w:t>
      </w:r>
    </w:p>
    <w:p>
      <w:pPr>
        <w:spacing w:after="0" w:line="225"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valuation of the deferred revenue was based on contractual commitment to provide on-going services to existing Performable customers. The fair value of this assumed liability was based on the estimated cost plus a reasonable margin to fulfill these service obligations. This deferred revenue was fully recognized by May of 2012.</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net intangible and identifiable intangible assets acquired was recorded to goodwill. The goodwill is attributable to expected operating and cross-selling synergies. The goodwill will not be deductible for tax purposes. The purchase price allocation was finalized as of December 31, 2011.</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Pro forma results of operations have not been presented because the acquisition was not material in relation to the Company’s consolidated financial statements for the period from January 1, 2011 to the date of acquisition, or in prior periods.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as of December 31, 2012 and 2013 and March 31, 2014 (unaudited)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Average remaining</w:t>
            </w:r>
          </w:p>
        </w:tc>
        <w:tc>
          <w:tcPr>
            <w:tcW w:w="28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8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 Months</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$ 670</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$ 745</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$ 316</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$ 147</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The estimated useful life of acquired technology is generally three years. The Company evaluates the useful lives of these assets on an annual basis and tests for impairment whenever events or changes in circumstances occur that could impact the recoverability of these assets.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Amortization expense related to intangible assets was $130 thousand in 2011, $224 thousand in 2012, $359 thousand in 2013, $64 thousand in the three months ended March 31, 2013 (unaudited) and $62 thousand in the three months ended March 31, 2014 (unaudited). Amortization expense of acquired technology is included in cost of revenue in the consolidated statements of operations. Estimated future amortization expense for intangible assets as of December 31, 2013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9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expense</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9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96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9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9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1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Equipment Line</w:t>
      </w:r>
      <w:r>
        <w:rPr>
          <w:rFonts w:ascii="Times New Roman" w:cs="Times New Roman" w:eastAsia="Times New Roman" w:hAnsi="Times New Roman"/>
          <w:sz w:val="18"/>
          <w:szCs w:val="18"/>
          <w:color w:val="auto"/>
        </w:rPr>
        <w:t>—In June 2010, the Company executed a loan and security agreement (the “Loan Agreement”) establishing a $500,000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of credit (the “Equipment Line”) with a bank for eligible equipment purchases through June 28, 2011. Borrowings under the Line were due in 24 equal monthly payments of principal, plus accrued interest, at an annual rate of 3.25% beginning July 1, 2011 through June 1, 2013. Borrowings were collateralized by the equipment, software and other property financed by the Loan Agreement. The Company was required to maintain certain non-financial covenants. The Equipment Line expired on June 1, 2013 and was not renewed. There were no amounts outstanding under the Equipment Line as of December 31, 2012, December 31, 2013 or March 31, 2014 (unaudited).</w:t>
      </w:r>
    </w:p>
    <w:p>
      <w:pPr>
        <w:spacing w:after="0" w:line="183"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Growth Capital and Revolving Line</w:t>
      </w:r>
      <w:r>
        <w:rPr>
          <w:rFonts w:ascii="Times New Roman" w:cs="Times New Roman" w:eastAsia="Times New Roman" w:hAnsi="Times New Roman"/>
          <w:sz w:val="18"/>
          <w:szCs w:val="18"/>
          <w:color w:val="auto"/>
        </w:rPr>
        <w:t>—In April 2012, the Company amended and restated the Loan Agreement. The Company could borrow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million on a growth capital line of credit (“Growth Capital Line”) through April 2013, at the daily adjusted LIBOR rate plus one percent. The Growth Capital Line was repayable beginning May 2013 in monthly installments of principal and interest through October 2015. The Company could borrow up to $5.0 million dollar on a revolving line of credit (“Revolving Line”) at the daily adjusted LIBOR rate, which was payable in full in October 2013. Both lines were established to provide financing for general corporate purposes. The Company was required to maintain a minimum cash account balance of $1.0 million and all of the Company’s assets, excluding intellectual property, was pledged as collateral.</w:t>
      </w:r>
    </w:p>
    <w:p>
      <w:pPr>
        <w:spacing w:after="0" w:line="187"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part of the amended and restated Loan Agreement, the Company issued the bank a fully exercisable warrant to purchase 39,474 shares of common stock at an exercise price of $1.90 per share with an expiration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date of April 2022. The fair value of the warrant of $50 thousand was recorded as interest expense in 2012 as it was issued fully vested. The fair value of the warrant was estimated on the date of the grant using the Black-Scholes option-pricing model with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May 2013, the Company executed the first amendment to the amended and restated Loan Agreement. The Growth Capital Line was extended through May 2014 and was repayable beginning June 2014 in monthly installments of principal and interest through November 2016. The Revolving Line was extended through May 2014.</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September 2013, the Company executed the second amendment to the amended and restated Loan Agreement, increasing the Revolving Line to $20.0 million and extending the maturity date to December 31, 2014. A 0.25% annual unused facility fee is applicable to the Revolving Line.</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No amounts have been drawn under the Revolving Line or the Growth Capital Line as of December 31, 2012, December 31, 2013, or March 31, 2014 (unaudited).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14 regarding the third amendment to the amended and restated Loan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Geographic Data</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previously discussed in the Company’s Summary of Significant Accounting Policies, the Company operates in one operating segment. Revenue and long-lived assets by geographic region, based on the physical location of the operations recording the sale or the asset, are as follows: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by geographical region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12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12"/>
                <w:szCs w:val="12"/>
                <w:color w:val="auto"/>
              </w:rPr>
            </w:pPr>
          </w:p>
        </w:tc>
        <w:tc>
          <w:tcPr>
            <w:tcW w:w="6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$28,553</w:t>
            </w: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$51,604</w:t>
            </w: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$74,437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16,598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22,061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3,197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28,553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51,604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77,634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revenues generated outside of the United States</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long lived assets by geographical region (in thousands):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9"/>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2,562</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6,775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 Lived Assets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2,562</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7,243</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long lived assets held outside of the United States</w:t>
            </w: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F-19</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November 2020. Rent expense for non-cancellable operating leases with free rental periods or scheduled rent increases is recognized on a straight-line basis over the terms of the leases. Improvement reimbursements from landlords of $1.8 million are being amortized on a straight-line basis into rent expense over the terms of the leases. The difference between required lease payments and rent expense has been recorded as deferred rent.</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Rent expense was $977 thousand in 2011, $1.3 million in 2012, $3.1 million in 2013, $399 thousand in the three months ended March 31, 2013 (unaudited) and $1.2 million in the three months ended March 31, 2014 (unaudited). Deferred rent was $1.4 million as of December 31, 2012, $2.5 million as of December 31, 2013, and $3.6 million as of March 31, 2014 (unaudited).</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In August 2011, the Company sublet a portion of its office space to an unrelated third party and entered into a sublease that expired in January 2014. Sublease income was $46 thousand in 2011, $130 thousand in 2012, $135 thousand in 2013, $33 thousand in the three months ended March 31, 2013 (unaudited) and $11 thousand in the three months ended March 31, 2014 (unaudited).</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October 2013, the Company extended a lease agreement for the purchase of equipment with a fair value of $299 thousand. The lease is payable in 36 monthly payments through September 2016. The total outstanding balance financed under capital leases was $107 thousand as of December 31, 2012, $299 thousand as of December 31, 2013 and $252 thousand as of March 31, 2014 (unaudited). Amortization of assets recorded under capital leases is included in depreciation expense.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payments under all operating and capital lease agreements as of December 31, 2013,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26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Portion representing interest</w:t>
            </w: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gridSpan w:val="2"/>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is not presently a party to any litigation that it believes might have a material effect on its business operations. The Company is, from time to time, a party to litigation that arises in the normal course of its business operations. On November 13, 2013, a class action complaint was filed, alleging that the Company maintained a policy of not paying overtime to business development representatives for all hours worked in excess of 40 hours per week. The complaint seeks unpaid wages, multiple damages, injunctive relief, attorneys’ fees and costs. The Company believes this matter will not have a material effect on the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 has authorized and issued Series A redeemable convertible preferred stock (“Series A”), Series B redeemable convertible preferred stock (“Series B”), Series C redeemable convertible preferred stock (“Series C”), Series D redeemable convertible preferred stock (“Series D”), Series D-1, and Series E redeemable convertible preferred stock (“Series E”) (collectively, “Preferred Stock”); which are classified as temporary equity.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In March 2011, the Company issued 7,634,497 shares of Series D at approximately $2.82 per share for gross proceeds of $21.5 million and issuance costs of $153 thousand.</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June 2011, the Company issued 3,737,028 shares of Series D-1 Preferred Stock at approximately $2.64 per share for an aggregate value of $9.9 million as part of the consideration for the purchase of Performable (see Note 4).</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November 2012, the Company issued 6,267,336 shares of Series E at approximately $5.62 per share for gross proceeds of $35.2 million and issuance costs of $103 thousand.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rights and privileges of Series A, Series B, Series C, Series D, Series D-1 and Series E (collectively, the “Preferred Stock”) are described below:</w:t>
      </w:r>
    </w:p>
    <w:p>
      <w:pPr>
        <w:spacing w:after="0" w:line="115" w:lineRule="exact"/>
        <w:rPr>
          <w:sz w:val="20"/>
          <w:szCs w:val="20"/>
          <w:color w:val="auto"/>
        </w:rPr>
      </w:pPr>
    </w:p>
    <w:p>
      <w:pPr>
        <w:ind w:right="1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—The holders of the Preferred Stock are entitled to vote on all matters and shall have the number of votes equal to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into which the Preferred Stock is convertible.</w:t>
      </w:r>
    </w:p>
    <w:p>
      <w:pPr>
        <w:spacing w:after="0" w:line="158"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holder of shares of Preferred Stock is entitled to receive dividends, when and if declared by the Company’s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assets at the time legally available therefore, in preference to common stockholders. Through March 31, 2014, no dividends have been declared or paid by the Company (unaudited).</w:t>
      </w:r>
    </w:p>
    <w:p>
      <w:pPr>
        <w:spacing w:after="0" w:line="176"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Company shall not declare or pay any cash dividends on shares of common stock until each of the holders of the then-outstanding Preferred Stock shall have first received, or there shall have been declared and set aside for payment, a cash dividend on each outstanding share of such Preferred Stock in an amount equal to the product of the per share amount, if any, of the dividends to be declared, paid, or set aside for the common stock, multiplied by the number of whole shares of common stock into which such share of Preferred Stock is then convertible.</w:t>
      </w:r>
    </w:p>
    <w:p>
      <w:pPr>
        <w:spacing w:after="0" w:line="17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—Each share of Preferred Stock may be converted at any time, at the option of the holder into shares of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conversion rate as determined by dividing the original issue price by the conversion price, with the exception of Series D-1. The issuance price is approximately $0.41 for Series A, $0.84 for Series B, $1.27 for Series C, $2.82 for Series D and $5.62 for Series E. The current conversion prices are the same as the issuance prices. Each share of Series D-1 may be converted as determined by dividing the Series D issuance price by the Series D conversion price (as adjusted for certain dilutive events). Conversion is mandatory at the earlier of the closing of an initial public offering of the Company’s common stock at a per share price of at least $5.62 (adjusted for certain dilutive events) with net proceeds to the Company of at least $50 million or the election by holders of at least 65% of the then-outstanding shares of Preferred Stock.</w:t>
      </w:r>
    </w:p>
    <w:p>
      <w:pPr>
        <w:spacing w:after="0" w:line="18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—The holders of the Preferred Stock have preferences over the holders of the Company’s common stock in the event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or involuntary liquidation, dissolution, or winding-up of the Company, including a merger or consolidation. The amount to be paid per share is equal to the greater of approximately $0.41 for Series A, $0.84 for Series B, $1.27 for Series C, $2.82 for Series D, $1.77 for Series D-1 and $5.62 for Series E (as adjusted for certain dilutive events) plus any declared and unpaid dividends or such amount per share as would have been payable had all shares of the Preferred Stock been converted to common stock immediately prior to the liquidation event. Thereafter, any remaining assets available for distribution would be distributed among the common stockholders. If upon liquidation, the assets of the Company are not sufficient to permit payment of the full liquidation preference of the Preferred stock, the assets will be distributed first to the holders of Series E Preferred Stock on a pari passu basis. Any remaining assets will them be distributed on a pari passu basis of the holders of Series A, Series B, Series C, Series D and Series D-1 Preferred Stock.</w:t>
      </w:r>
    </w:p>
    <w:p>
      <w:pPr>
        <w:spacing w:after="0" w:line="185"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—Upon written notice of 65% of the holders of Preferred Stock, the Preferred Stock is redeemable in three annual installments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30 days after receipt by the Company at any time on or after March 3, 2020 for all series, except Series E. Series E shall be redeemable in one installment commencing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30 days after receipt by the Company at any time on or after March 3, 2020. The redemption price per share is approximately $0.41 for Series A, $0.84 for Series B, $1.27 for Series C, $2.82 for Series D, $1.77 for Series D-1 and $5.62 for Series E, plus any declared and unpaid dividends. If the Company does not pay the redemption price when due, the delinquent payment will bear interest at a rate of 1% per month. If the Company does not have sufficient funds available to redeem the Preferred Stock on any redemption date, the Company shall redeem a pro rata portion of each holder’s shares of Preferred Stock out of funds available and shall redeem the remaining shares as soon as practicable after the Company has funds available.</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 is accreting Series A, Series B, Series C, Series D and Series E to their redemption value over the period from the date of issuance to March 3, 2020, such that the carrying amounts of the securities will equal the redemption amounts at the earliest redemption date.</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contains the value of each class of Preferred Stock as of December 31, 2012 and 2013 and March 31, 2014 (unaudited), as well as the liquidation and redemption value at March 31, 2014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designated, issued, and outstanding, 13,687 shares at December 31, 2012 and 2013 and March 31, 2014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$5,625 at December 31, 2013 and March 31, 2014 (unaudited))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198"/>
        </w:trPr>
        <w:tc>
          <w:tcPr>
            <w:tcW w:w="8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designated, issued, and outstanding, 14,313 shares at December 31, 2012 and 2013 and March 31, 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$12,000 at December 31, 2013 and March 31, 2014 (unaudited))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11,979</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designated, issued, and outstanding, 12,950 shares at December 31, 2012 and 2013 and March 31, 2014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$16,458 at December 31, 2013 and March 31, 2014 (unaudited))</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16,419</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198"/>
        </w:trPr>
        <w:tc>
          <w:tcPr>
            <w:tcW w:w="8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D designated, issued, and outstanding, 7,634 shares at December 31, 2012 and 2013 and March 31, 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$21,500 at December 31, 2013 and March 31, 2014 (unaudited))</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22,388</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22,391</w:t>
            </w: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D-1 designated, issued, and outstanding, 3,737 shares at December 31, 2012 and 2013 and March 31, 2014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$6,625 at December 31, 2013 and March 31, 2014 (unaudited))</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9,866</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198"/>
        </w:trPr>
        <w:tc>
          <w:tcPr>
            <w:tcW w:w="8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E designated, issued, and outstanding, 6,267 shares at December 31, 2012 and 2013 and March 31, 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and redemption value of $35,199 at December 31, 2013 and March 31, 2014 (unaudited))</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35,113</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35,116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101,239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101,293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101,305</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Deficit and Stock-Based Compensation</w:t>
      </w:r>
    </w:p>
    <w:p>
      <w:pPr>
        <w:spacing w:after="0" w:line="117"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Common Stock Reserved</w:t>
      </w:r>
      <w:r>
        <w:rPr>
          <w:rFonts w:ascii="Times New Roman" w:cs="Times New Roman" w:eastAsia="Times New Roman" w:hAnsi="Times New Roman"/>
          <w:sz w:val="18"/>
          <w:szCs w:val="18"/>
          <w:color w:val="auto"/>
        </w:rPr>
        <w:t>—As of December 31, 2013 and March 31, 2014 (unaudited), the Company has authorized 100 million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 number of shares of common stock reserved for the potential conversion of preferred stock, vesting of restricted stock units (“RSUs”) and exercise of a warrant and common stock options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120" w:type="dxa"/>
            <w:vAlign w:val="bottom"/>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r>
      <w:tr>
        <w:trPr>
          <w:trHeight w:val="142"/>
        </w:trPr>
        <w:tc>
          <w:tcPr>
            <w:tcW w:w="9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13,687</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13,687</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B</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14,313</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14,313</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C</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7,634</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D-1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3,737</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6,267</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14,086</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14,199</w:t>
            </w:r>
          </w:p>
        </w:tc>
      </w:tr>
      <w:tr>
        <w:trPr>
          <w:trHeight w:val="223"/>
        </w:trPr>
        <w:tc>
          <w:tcPr>
            <w:tcW w:w="9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—The Company’s 2007 Equity Incentive Plan (the “Plan”) provides for the grant of qualified incentive stock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nonqualified stock options or other awards such as RSUs to the Company’s employees, officers, directors and outside consultants to purchase up to an aggregate of 22.1 million shares and 25.8 million shares of the Company’s common stock as of December 31, 2013, and March 31, 2014 (unaudited), respectively. The share based awards generally vest over a four-year period and expire 10 years from the date of grant. Certain share-based awards provide for accelerated vesting if there is a change in control, as defined in the Plan. As of December 31, 2013 and March 31, 2014 (unaudited), the Company had 44 thousand and 1.8 million share based awards available for future grant under the Plan, respectively.</w:t>
      </w:r>
    </w:p>
    <w:p>
      <w:pPr>
        <w:spacing w:after="0" w:line="18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Equity Compensation Expense</w:t>
      </w:r>
      <w:r>
        <w:rPr>
          <w:rFonts w:ascii="Times New Roman" w:cs="Times New Roman" w:eastAsia="Times New Roman" w:hAnsi="Times New Roman"/>
          <w:sz w:val="18"/>
          <w:szCs w:val="18"/>
          <w:color w:val="auto"/>
        </w:rPr>
        <w:t>—The Company’s equity compensation expense is comprised of awards of options to purchase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(RSAs) and RSUs. In connection with the Series D preferred stock financing in 2011, certain investors purchased an aggregate of 1,973 thousand shares of common stock, at a price per share of $2.53, and an aggregate of 2,230 thousand shares of Series A preferred stock, at a price per share of $2.82, for an aggregate consideration of approximately $11.2 million, from certain employees and non-employee investors of the Company. The aggregate purchase price per share represented an excess over the fair value of such shares of approximately $4.6 million. Of this $4.6 million, $3.7 million is associated with employees and is recorded as stock compensation expense, and $973 thousand is associated with non-employee investors and is recorded as a non-cash deemed dividend.</w:t>
      </w:r>
    </w:p>
    <w:p>
      <w:pPr>
        <w:spacing w:after="0" w:line="187"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two tables show stock compensation expense by award type and where the stock compensation expense is recorded in the Company’s consolidated statements of operations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RSAs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sale of securities to investors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3,658</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subscription</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service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2,341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1,194</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1,484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1,318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4,619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2,515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3,464</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Excluded from stock-based compensation expense is $100 thousand of capitalized software development costs in 2012, $273 thousand in 2013, $68 thousand for the three months ended March 31, 2013 (unaudited), and $51 thousand for the three months ended March 31, 2014 (unaudited). Capitalization of stock-based compensation expense as part of software development costs in 2011 was negligible.</w:t>
      </w:r>
    </w:p>
    <w:p>
      <w:pPr>
        <w:spacing w:after="0" w:line="172"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—The fair value of employee options is estimated on the date of each grant using the Black-Scholes option-pricing model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gridSpan w:val="3"/>
          </w:tcPr>
          <w:p>
            <w:pPr>
              <w:jc w:val="center"/>
              <w:ind w:right="59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59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560" w:type="dxa"/>
            <w:vAlign w:val="bottom"/>
            <w:gridSpan w:val="3"/>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14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98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0.79% - 2.45%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5.0 - 6.5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 - 52%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46.8% -54.7%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 -47.9%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50.9%</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was $0.64 per share in 2011, $1.03 per share in 2012, $2.28 per share in 2013, $2.02 per share for the three months ended March 31, 2013 (unaudited) and $2.69 per share for the three months ended March 31, 2014 (unaudited).</w:t>
      </w:r>
    </w:p>
    <w:p>
      <w:pPr>
        <w:spacing w:after="0" w:line="16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interest rate was based on the U.S. Treasury bond rate at the date of grant with a maturity approximately equal to the expected term. The expected term of options granted to employees was calculated using the simplified method, which represents the average of the contractual term of the option and the weighted-average vesting period of the option. The expected term of options granted to nonemployees is equal to the remaining contractual term as of the measurement date. Expected volatility for the Company’s common stock was based on an average of the historical volatility of a peer group of similar public companies. The assumed dividend yield is based upon the Company’s expectation of not paying dividends in the foreseeable future. The estimation of share-based awards that will ultimately vest requires judgment, and to the extent actual results differ from the Company’s estimates, such amounts will be recorded as an adjustment in the period estimates are revised.</w:t>
      </w:r>
    </w:p>
    <w:p>
      <w:pPr>
        <w:spacing w:after="0" w:line="18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fair value of the common stock has been determined by the Board of Directors at each award grant date based upon a variety of factors, including the results obtained from independent third-party valuations, the Company’s financial position and historical financial performance, the status of technological developments within the Company’s products, the composition and ability of the current engineering and management team, an evaluation of benchmark of the Company’s competition, the current climate in the marketplace, the illiquid nature of the common stock, arm’s-length sales of the Company’s capital stock (including redeemable convertible preferred stock), the effect of the rights and preferences of the preferred stockholders and the prospects of a liquidity event, among others.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option activity for the Plan for the year ended December 31, 2013 and for the three months ended March 31, 2014 (unaudited)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 (in</w:t>
            </w:r>
          </w:p>
        </w:tc>
        <w:tc>
          <w:tcPr>
            <w:tcW w:w="30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Outstanding—January 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4.62</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0.90</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2013</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14,086</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2.22</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 (unaudited)</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5.38</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(unaudited)</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1.26</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 (unaudited)</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4.32</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Outstanding—March 31, 2014 (unaudited)</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14,199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2.58</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39,758</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or expected to vest—December 31, 2013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2.14</w:t>
            </w:r>
          </w:p>
        </w:tc>
        <w:tc>
          <w:tcPr>
            <w:tcW w:w="14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3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exercisable—December 31, 2013</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7,229</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1.33</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or expected to vest—March 31, 2014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36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2.49</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exercisable—March 31, 2014 (unaudited)</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7,041</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1.47</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activity of the Company’s non-vested options for the year ended December 31, 2013 and for the three months ended March 31, 2014 (unaudited)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 (in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(4,084)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Granted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(unaudited)</w:t>
            </w:r>
          </w:p>
        </w:tc>
        <w:tc>
          <w:tcPr>
            <w:tcW w:w="16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Forfeited (unaudited)</w:t>
            </w: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2014 (unaudited)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unrecognized compensation cost related to the nonvested options granted under the Plan was $8.7 million at December 31, 2013, and</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$11.2 million at March 31, 2014 (unaudited). That cost is expected to be recognized over a weighted-average period of 2.9 years as of December 31, 2013 and 3.0 years as of March 31, 2014 (unaudited).</w:t>
      </w:r>
    </w:p>
    <w:p>
      <w:pPr>
        <w:spacing w:after="0" w:line="176"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Common Stock Warrant</w:t>
      </w:r>
      <w:r>
        <w:rPr>
          <w:rFonts w:ascii="Times New Roman" w:cs="Times New Roman" w:eastAsia="Times New Roman" w:hAnsi="Times New Roman"/>
          <w:sz w:val="18"/>
          <w:szCs w:val="18"/>
          <w:color w:val="auto"/>
        </w:rPr>
        <w:t>—In 2012, in conjunction with the revolving and term loan agreement (see Note 6), the Company issued a warrant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39 thousand shares of common stock at an exercise price of $1.90 per share with an expiration date of April 2022. The warrant is exercisable and outstanding at December 31, 2013 and March 31, 2014 (unaudited).</w:t>
      </w:r>
    </w:p>
    <w:p>
      <w:pPr>
        <w:spacing w:after="0" w:line="171"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—In June 2011, in connection with the Performable acquisition, the Company issued 661 thousand shares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former Performable employees. These shares were subject to repurchase agreements and if the holder ceased to have a business relationship with the Company, the Company could repurchase any unvested shares of common stock held by these individuals at prices that ranged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$0.000475 to $0.285 per share. These shares were issued for no consideration and therefore the fair value of these shares of $1.2 million was recorded as compensation expense over the vesting period. As of December 31, 2013 the Company’s right to repurchase the RSAs had fully lapsed.</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During 2011, the Company repurchased 30 thousand unvested shares at an aggregate purchase price of $8 thousand and reclassified $2 thousand into stockholders’ deficit representing the amounts no longer subject to purchase for 159 thousand shares that vested during the year. During 2012, the Company reclassified $2 thousand into stockholder’s deficit representing the amounts no longer subject to repurchase for 270 thousand shares that vested during the year. During 2013, the Company reclassified $2 thousand into stockholder’s deficit representing the amounts no longer subject to repurchase for 202 thousand shares that vested during the year.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activity for the RSAs for the year ended December 31, 2013,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8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7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Outstanding—January 1, 2013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Lapse in Company buyback right</w:t>
            </w:r>
          </w:p>
        </w:tc>
        <w:tc>
          <w:tcPr>
            <w:tcW w:w="20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2013</w:t>
            </w:r>
          </w:p>
        </w:tc>
        <w:tc>
          <w:tcPr>
            <w:tcW w:w="20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—RSUs vest upon achievement of a service condition and a performance condition. As soon as practicable following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the Company will issue to the holder of the RSUs the number of shares of common stock equal to the aggregate number of RSUs that have vested. Notwithstanding the foregoing, the Company may, in its sole discretion, in lieu of issuing shares of common stock to the holder of the RSUs, pay the holder an amount in cash equal to the fair market value of such shares of common stock. The service condition is a time-based condition met over a period of four years, with 25% met after one year, and then in equal monthly installments over the succeeding three years. The performance condition is met upon a sale event or six months following the Company’s initial public offering (“IPO”), which was not considered probable as of December 31, 2013 or March 31, 2014 (unaudited), and therefore no stock-based compensation expense has been recorded in the consolidated financial statements. A sale event is defined as either (i) a change of control as a result of which the Company’s common stock is registered with the Securities and Exchange Commission (“SEC”) and publicly-traded on any national security exchange or (ii) a change of control in which the acquirer of the Company has a class of stock registered with the SEC and publicly-traded on any national security exchange. An IPO is defined the first firm commitment underwritten public offering pursuant to an effective registration statement with the SEC covering the offer and sale by the Company of its equity securities, as a result of or following which the Company’s common stock shall be publicly-traded on any national security exchange. When it becomes probable that the performance condition will be met, such as upon an IPO, stock-based compensation expense will be recorded for those RSUs where the service condition has been met. The total stock-based compensation expense expected to be recorded over the life of the RSUs was approximately $10.0 million at December 31, 2013 and $14.6 million at March 31, 2014 (unaudited).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RSUs for the year ended December 31, 2013 and for the three months ended March 31, 2014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220" w:type="dxa"/>
            <w:vAlign w:val="bottom"/>
            <w:gridSpan w:val="4"/>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Shares (in</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 grant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2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at December 31, 2012</w:t>
            </w: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2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2,575</w:t>
            </w:r>
          </w:p>
        </w:tc>
        <w:tc>
          <w:tcPr>
            <w:tcW w:w="200" w:type="dxa"/>
            <w:vAlign w:val="bottom"/>
          </w:tcPr>
          <w:p>
            <w:pPr>
              <w:spacing w:after="0"/>
              <w:rPr>
                <w:sz w:val="18"/>
                <w:szCs w:val="18"/>
                <w:color w:val="auto"/>
              </w:rPr>
            </w:pPr>
          </w:p>
        </w:tc>
        <w:tc>
          <w:tcPr>
            <w:tcW w:w="90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360" w:type="dxa"/>
            <w:vAlign w:val="bottom"/>
          </w:tcPr>
          <w:p>
            <w:pPr>
              <w:spacing w:after="0"/>
              <w:rPr>
                <w:sz w:val="18"/>
                <w:szCs w:val="18"/>
                <w:color w:val="auto"/>
              </w:rPr>
            </w:pPr>
          </w:p>
        </w:tc>
        <w:tc>
          <w:tcPr>
            <w:tcW w:w="860" w:type="dxa"/>
            <w:vAlign w:val="bottom"/>
            <w:gridSpan w:val="3"/>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at December 31, 2013</w:t>
            </w:r>
          </w:p>
        </w:tc>
        <w:tc>
          <w:tcPr>
            <w:tcW w:w="10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2,575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(unaudited)</w:t>
            </w:r>
          </w:p>
        </w:tc>
        <w:tc>
          <w:tcPr>
            <w:tcW w:w="1020" w:type="dxa"/>
            <w:vAlign w:val="bottom"/>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18"/>
                <w:szCs w:val="18"/>
                <w:color w:val="auto"/>
              </w:rPr>
            </w:pPr>
          </w:p>
        </w:tc>
        <w:tc>
          <w:tcPr>
            <w:tcW w:w="90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 (unaudited)</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 (unaudited)</w:t>
            </w:r>
          </w:p>
        </w:tc>
        <w:tc>
          <w:tcPr>
            <w:tcW w:w="102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90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at March 31, 2014 (unaudited)</w:t>
            </w:r>
          </w:p>
        </w:tc>
        <w:tc>
          <w:tcPr>
            <w:tcW w:w="10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3,268</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before provision for income taxes was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center"/>
              <w:ind w:lef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$(24,411)</w:t>
            </w:r>
          </w:p>
        </w:tc>
        <w:tc>
          <w:tcPr>
            <w:tcW w:w="13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$(18,358)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(24,411)</w:t>
            </w:r>
          </w:p>
        </w:tc>
        <w:tc>
          <w:tcPr>
            <w:tcW w:w="13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(18,778)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reconciles the differences between income taxes computed at the federal statutory rate of 35% and the provision for 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year ended December 31,</w:t>
            </w:r>
          </w:p>
        </w:tc>
      </w:tr>
      <w:tr>
        <w:trPr>
          <w:trHeight w:val="142"/>
        </w:trPr>
        <w:tc>
          <w:tcPr>
            <w:tcW w:w="5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(benefit) expense at the federal statutory rate</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(8,544)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(6,572)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(11,997)</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foreign tax rates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3580" w:type="dxa"/>
            <w:vAlign w:val="bottom"/>
            <w:gridSpan w:val="2"/>
          </w:tcPr>
          <w:p>
            <w:pPr>
              <w:jc w:val="right"/>
              <w:ind w:right="2775"/>
              <w:spacing w:after="0"/>
              <w:rPr>
                <w:sz w:val="20"/>
                <w:szCs w:val="20"/>
                <w:color w:val="auto"/>
              </w:rPr>
            </w:pPr>
            <w:r>
              <w:rPr>
                <w:rFonts w:ascii="Times New Roman" w:cs="Times New Roman" w:eastAsia="Times New Roman" w:hAnsi="Times New Roman"/>
                <w:sz w:val="18"/>
                <w:szCs w:val="18"/>
                <w:color w:val="auto"/>
              </w:rPr>
              <w:t>F-27</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Deferred Tax Assets and Liabilities</w:t>
      </w:r>
      <w:r>
        <w:rPr>
          <w:rFonts w:ascii="Times New Roman" w:cs="Times New Roman" w:eastAsia="Times New Roman" w:hAnsi="Times New Roman"/>
          <w:sz w:val="18"/>
          <w:szCs w:val="18"/>
          <w:color w:val="auto"/>
        </w:rPr>
        <w:t>—Deferred income taxes reflect the net effects of temporary differences between the carrying amounts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for financial reporting purposes and the amounts used for income tax purposes. Significant components of the Company’s deferred tax assets and liabilities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18,105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23,810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35,077</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Accruals and reserves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19,425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26,702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39,060</w:t>
            </w: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costs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(19,057)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(26,016)</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(38,383)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Company reviews all available evidence to evaluate its recovery of deferred tax assets, including its recent history of accumulated losses in all tax jurisdictions over the most recent three years as well as its ability to generate income in future periods. The Company has provided a valuation allowance against its net deferred tax assets as it is more likely than not that these assets will not be realized given the nature of the assets and the likelihood of future utilization.</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$7.0 million in 2012 and $12.4 million in 2013 due to the increase in the deferred tax assets by the same amounts (primarily due to the increase in the net operating loss carryforwards).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U.S. income taxes on the undistributed earnings of the Company’s one non-U.S. subsidiary have not been provided for as the Company currently plans to indefinitely reinvest these amounts and has the ability to do so. Cumulative undistributed foreign earnings were not material at December 31, 2013. The Company does not believe it is practicable to estimate with reasonable accuracy the hypothetical amount of the unrecognized deferred tax liability on undistributed foreign earnings given the many factors and assumptions required to estimate the taxable amount after reduction for available foreign tax credits.</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had federal and state net operating loss carryforwards of $90.1 million at December 31, 2013, which expire at various dates through 2033 and $301 thousand of foreign net operating loss carryforwards that has no expiration date. The Company has generated net operating loss carryforwards from stock compensation deductions and the amount of federal and state excess tax benefits totaling $1.0 million will be credited to additional paid-in capital when realized.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federal research and development credit carryforwards of $1.4 million at December 31, 2013 that expire at various dates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The Company also has state research and development credit carryforwards of $584 thousand at December 31, 2013 that expire at various dates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According to the American Taxpayer Relief Act of 2012 signed into law on January 3, 2013, the federal research credit, which was allowed to expire on January 1, 2012, was retroactively extended through 2013. The entire benefit of $512 thousand for the retroactive extension (January 1 through December 31, 2012) is reflected in the 2013 financial statements.</w:t>
      </w:r>
    </w:p>
    <w:p>
      <w:pPr>
        <w:spacing w:after="0" w:line="172"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Uncertain Tax Positions</w:t>
      </w:r>
      <w:r>
        <w:rPr>
          <w:rFonts w:ascii="Times New Roman" w:cs="Times New Roman" w:eastAsia="Times New Roman" w:hAnsi="Times New Roman"/>
          <w:sz w:val="18"/>
          <w:szCs w:val="18"/>
          <w:color w:val="auto"/>
        </w:rPr>
        <w:t>—The Company accounts for uncertainty in income taxes using a two-step process. The Company first determines whether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activity related to unrecognized tax benefits: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9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92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left="4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benefit—beginning of the year</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$366</w:t>
            </w:r>
          </w:p>
        </w:tc>
        <w:tc>
          <w:tcPr>
            <w:tcW w:w="1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(decreases)—prior period positions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(decreases)—current period positions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benefit—end of period</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552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667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1,030</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interest and penalties related to uncertain tax positions as a component of income tax expense. No interest or penalties have been recorded through December 31, 2013.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United States, Ireland and various state jurisdictions. All of the Company’s tax years remain open to examination by major taxing jurisdictions to which the Company is subject, as carryforward attributes generated in past years may still be adjusted upon examination by the Internal Revenue Service or state and foreign tax authorities if they have or will be used in future periods. The Company is currently not under examination by the Internal Revenue Service or any other jurisdictions for any tax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July 2008, 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Fiscal year 2013 was the first year the Company made matching contributions to the 401(k) Plan. Total contributions were $366 thousand in 2013, zero in the three months ended March 31, 2013 (unaudited) and $231 thousand in the three months ended March 31, 2014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Redeemable convertible preferred shares held by affiliates of board members was 66% as of December 31, 2013 and 67% as of March 31, 2014 (unaudited).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for financial statement purposes through March 28, 2014, the date on which the consolidated December 31, 2013 financial statements were originally issued. For the three months ended March 31, 2014, the Company evaluated subsequent events through July 9, 2014, the date on which these interim financial statements were issued.</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On February 7, 2014, the Board of Directors and stockholders of the Company approved an increase of 3,740,604 shares of common stock reserved for issuance under the Plan to 25,838,427 shares.</w:t>
      </w:r>
    </w:p>
    <w:p>
      <w:pPr>
        <w:spacing w:after="0" w:line="162"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Revolving and Term Loan Agreement—In March 2014, the Company executed the third amendment to the amended and restated Loan Agreement. The Growth Capital Line was extended with borrowings available through December 2014 and repayable over thirty months through June 2017. Additionally, the Revolving Line was increased to $30.0 million and is payable in full in March 2016. The Company is required to meet minimum quarterly subscription revenue which increases throughout the life of the Loan Agreement. As of March 31, 2014, the Company was in compliance with this requirement.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215900</wp:posOffset>
            </wp:positionV>
            <wp:extent cx="5788660" cy="7546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88660" cy="75469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67" w:name="page168"/>
    <w:bookmarkEnd w:id="16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215265</wp:posOffset>
            </wp:positionV>
            <wp:extent cx="5788660" cy="7546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88660" cy="754697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w:t>
      </w: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 and</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 fee.</w:t>
            </w:r>
          </w:p>
        </w:tc>
        <w:tc>
          <w:tcPr>
            <w:tcW w:w="3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 to be paid</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SEC</w:t>
            </w:r>
          </w:p>
        </w:tc>
        <w:tc>
          <w:tcPr>
            <w:tcW w:w="2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registration fee</w:t>
            </w:r>
          </w:p>
        </w:tc>
        <w:tc>
          <w:tcPr>
            <w:tcW w:w="44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4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we expect to adopt an amended and restated certificate of incorporation, which will become effective upon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6"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8"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last three years, we sold the following securities on an unregistered basis:</w:t>
      </w:r>
    </w:p>
    <w:p>
      <w:pPr>
        <w:spacing w:after="0" w:line="117" w:lineRule="exact"/>
        <w:rPr>
          <w:sz w:val="20"/>
          <w:szCs w:val="20"/>
          <w:color w:val="auto"/>
        </w:rPr>
      </w:pPr>
    </w:p>
    <w:p>
      <w:pPr>
        <w:ind w:right="540" w:firstLine="464"/>
        <w:spacing w:after="0" w:line="282" w:lineRule="auto"/>
        <w:tabs>
          <w:tab w:leader="none" w:pos="7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2007, we granted options under our 2007 Equity Incentive Plan to purchase an aggregate of 27,807,859 shares of common stock to our employees, directors and consultants, having exercise prices ranging from $0.02 to $5.65 per share for an aggregate exercise price of $43,570,613.44.</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7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and November 2012, we sold and issued 6,267,336 shares of Series E preferred stock to 16 accredited investors, at $5.6162 per share, for a total consideration of approximately $35 million.</w:t>
      </w:r>
    </w:p>
    <w:p>
      <w:pPr>
        <w:spacing w:after="0" w:line="161" w:lineRule="exact"/>
        <w:rPr>
          <w:rFonts w:ascii="Times New Roman" w:cs="Times New Roman" w:eastAsia="Times New Roman" w:hAnsi="Times New Roman"/>
          <w:sz w:val="18"/>
          <w:szCs w:val="18"/>
          <w:color w:val="auto"/>
        </w:rPr>
      </w:pPr>
    </w:p>
    <w:p>
      <w:pPr>
        <w:ind w:right="620" w:firstLine="464"/>
        <w:spacing w:after="0" w:line="282" w:lineRule="auto"/>
        <w:tabs>
          <w:tab w:leader="none" w:pos="7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15, 2011, we sold and issued 3,737,028 shares of Series D-1 preferred stock to 1 accredited investor, at $2.640 per share, for a total consideration of approximately $9.9 million.</w:t>
      </w:r>
    </w:p>
    <w:p>
      <w:pPr>
        <w:spacing w:after="0" w:line="161" w:lineRule="exact"/>
        <w:rPr>
          <w:rFonts w:ascii="Times New Roman" w:cs="Times New Roman" w:eastAsia="Times New Roman" w:hAnsi="Times New Roman"/>
          <w:sz w:val="18"/>
          <w:szCs w:val="18"/>
          <w:color w:val="auto"/>
        </w:rPr>
      </w:pPr>
    </w:p>
    <w:p>
      <w:pPr>
        <w:ind w:right="640" w:firstLine="464"/>
        <w:spacing w:after="0" w:line="282" w:lineRule="auto"/>
        <w:tabs>
          <w:tab w:leader="none" w:pos="7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2011, we sold and issued 7,634,497 shares of Series D preferred stock to 9 accredited investors, at $2.816165 per share, for a total consideration of approximately $21.5 million.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67" w:lineRule="exact"/>
        <w:rPr>
          <w:sz w:val="20"/>
          <w:szCs w:val="20"/>
          <w:color w:val="auto"/>
        </w:rPr>
      </w:pPr>
    </w:p>
    <w:p>
      <w:pPr>
        <w:ind w:left="900" w:right="80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transactions described in paragraph (1), Rule 701 promulgated under the Securities Act as transactions pursuant to a compensatory benefit plan approved by the registrant’s board of directors; and</w:t>
      </w:r>
    </w:p>
    <w:p>
      <w:pPr>
        <w:spacing w:after="0" w:line="67" w:lineRule="exact"/>
        <w:rPr>
          <w:rFonts w:ascii="Times New Roman" w:cs="Times New Roman" w:eastAsia="Times New Roman" w:hAnsi="Times New Roman"/>
          <w:sz w:val="18"/>
          <w:szCs w:val="18"/>
          <w:color w:val="auto"/>
        </w:rPr>
      </w:pPr>
    </w:p>
    <w:p>
      <w:pPr>
        <w:ind w:left="900" w:right="460" w:hanging="446"/>
        <w:spacing w:after="0" w:line="277"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transactions described in paragraphs (2), (3) and (4), Section 4(2) of the Securities Act, or Rule 506 of Regulation D promulgated thereunder, as transactions by an issuer not involving a public offering. Each recipient of the securities in these transactions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us or had adequate access, through his or her relationship with the registrant, to information about 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is incorporated by reference herein.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consolidated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61"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900" w:right="20" w:hanging="318"/>
        <w:spacing w:after="0" w:line="266"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w:t>
      </w:r>
    </w:p>
    <w:p>
      <w:pPr>
        <w:spacing w:after="0" w:line="27" w:lineRule="exact"/>
        <w:rPr>
          <w:sz w:val="20"/>
          <w:szCs w:val="20"/>
          <w:color w:val="auto"/>
        </w:rPr>
      </w:pPr>
    </w:p>
    <w:p>
      <w:pPr>
        <w:ind w:left="900" w:right="300" w:hanging="899"/>
        <w:spacing w:after="0" w:line="250" w:lineRule="auto"/>
        <w:rPr>
          <w:sz w:val="20"/>
          <w:szCs w:val="20"/>
          <w:color w:val="auto"/>
        </w:rPr>
      </w:pPr>
      <w:r>
        <w:rPr>
          <w:rFonts w:ascii="Times New Roman" w:cs="Times New Roman" w:eastAsia="Times New Roman" w:hAnsi="Times New Roman"/>
          <w:sz w:val="18"/>
          <w:szCs w:val="18"/>
          <w:color w:val="auto"/>
        </w:rPr>
        <w:t>signed on its behalf by the undersigned, thereunto duly authorized, in the city of Cambridge, Commonwealth of Massachusetts, on the</w:t>
      </w:r>
      <w:r>
        <w:rPr>
          <w:sz w:val="20"/>
          <w:szCs w:val="20"/>
          <w:color w:val="auto"/>
        </w:rPr>
        <w:t xml:space="preserve"> </w:t>
      </w:r>
      <w:r>
        <w:rPr>
          <w:rFonts w:ascii="Times New Roman" w:cs="Times New Roman" w:eastAsia="Times New Roman" w:hAnsi="Times New Roman"/>
          <w:sz w:val="18"/>
          <w:szCs w:val="18"/>
          <w:color w:val="auto"/>
        </w:rPr>
        <w:t>day of , 2014.</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Brian Halligan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the undersigned directors and officers of HubSpot, Inc. (the “Company”), hereby severally constitute and appoint Brian Halligan, J.D. Sherman and John Kinzer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Pr>
          <w:p>
            <w:pPr>
              <w:spacing w:after="0"/>
              <w:rPr>
                <w:sz w:val="16"/>
                <w:szCs w:val="16"/>
                <w:color w:val="auto"/>
              </w:rPr>
            </w:pPr>
          </w:p>
        </w:tc>
        <w:tc>
          <w:tcPr>
            <w:tcW w:w="456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6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Brian Halligan</w:t>
            </w: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Kinzer</w:t>
            </w: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Chief Technology Officer</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Dharmesh Shah</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Stacey Bishop</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Larry Bohn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Pr>
          <w:p>
            <w:pPr>
              <w:spacing w:after="0"/>
              <w:rPr>
                <w:sz w:val="16"/>
                <w:szCs w:val="16"/>
                <w:color w:val="auto"/>
              </w:rPr>
            </w:pPr>
          </w:p>
        </w:tc>
        <w:tc>
          <w:tcPr>
            <w:tcW w:w="412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0" w:type="dxa"/>
            <w:vAlign w:val="bottom"/>
            <w:gridSpan w:val="3"/>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196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Ron Gill</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Lorrie Norrington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Simon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7"/>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2014</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David Skok</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6"/>
                <w:szCs w:val="16"/>
                <w:color w:val="auto"/>
              </w:rPr>
            </w:pPr>
          </w:p>
        </w:tc>
        <w:tc>
          <w:tcPr>
            <w:tcW w:w="10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Amended and Restated Certificate of Incorporation (as currently in effect)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(as currently in effect)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Fourth Amended and Restated Investors’ Rights Agreement between the Registrant and the investors named therein dated October 25, 2012</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Purchase Common Stock dated April 4, 2012 issued by the Registrant to Comerica Bank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dated March 10, 2010 between 25 First Street, LLC and the Registrant, as amended</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dated December 11, 2012 between AIG Property Company Limited and HubSpot Ireland Limited</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dated February 14, 2014 between AIG Property Company Limited and HubSpot Ireland Limited</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Executive Officers and Directors</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2007 Equity Incentive Plan and forms of restricted stock agreement and option agreements thereunder</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Stock Option and Grant Plan and forms of option agreements thereunder</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Loan and Security Agreement dated April 4, 2012 by and between Comerica Bank and the Registrant, as amended</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Agreement between the Registrant and Brian Halligan</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Agreement between the Registrant and Dharmesh Shah</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Agreement between the Registrant and John Kelleher</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Agreement between the Registrant and John Kinzer</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Agreement between the Registrant and J.D. Sherman</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240" w:top="456" w:right="419" w:bottom="1440" w:gutter="0" w:footer="0" w:header="0"/>
        </w:sectPr>
      </w:pPr>
    </w:p>
    <w:bookmarkStart w:id="174" w:name="page175"/>
    <w:bookmarkEnd w:id="174"/>
    <w:p>
      <w:pPr>
        <w:ind w:left="5660"/>
        <w:spacing w:after="0"/>
        <w:rPr>
          <w:sz w:val="20"/>
          <w:szCs w:val="20"/>
          <w:color w:val="auto"/>
        </w:rPr>
      </w:pPr>
      <w:r>
        <w:rPr>
          <w:rFonts w:ascii="Times New Roman" w:cs="Times New Roman" w:eastAsia="Times New Roman" w:hAnsi="Times New Roman"/>
          <w:sz w:val="18"/>
          <w:szCs w:val="18"/>
          <w:color w:val="auto"/>
        </w:rPr>
        <w:t>Joseph C. Theis,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324100" cy="3257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24100" cy="3257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617.570.1928</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jtheis@goodwinprocter.com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5"/>
          <w:szCs w:val="15"/>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Counselors at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617.570.1000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617.523.1231</w:t>
      </w:r>
    </w:p>
    <w:p>
      <w:pPr>
        <w:spacing w:after="0" w:line="200" w:lineRule="exact"/>
        <w:rPr>
          <w:sz w:val="20"/>
          <w:szCs w:val="20"/>
          <w:color w:val="auto"/>
        </w:rPr>
      </w:pPr>
    </w:p>
    <w:p>
      <w:pPr>
        <w:sectPr>
          <w:pgSz w:w="11900" w:h="16838" w:orient="portrait"/>
          <w:cols w:equalWidth="0" w:num="2">
            <w:col w:w="7860" w:space="720"/>
            <w:col w:w="2820"/>
          </w:cols>
          <w:pgMar w:left="240" w:top="121" w:right="25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AND FEDERAL EXPRESS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Barbara C. Jacobs</w:t>
      </w:r>
    </w:p>
    <w:p>
      <w:pPr>
        <w:spacing w:after="0" w:line="230"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Re:</w:t>
        <w:tab/>
        <w:t>HubSpot, Inc.</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Confidential Draft Registration Statement on Form S-1</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Originally Submitted June 6, 2014</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CIK No. 0001404655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 Jacobs:</w:t>
      </w:r>
    </w:p>
    <w:p>
      <w:pPr>
        <w:spacing w:after="0" w:line="225"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This letter is submitted on behalf of HubSpot, Inc. (the “Company”) in response to the comments of the staff of the Division of Corporation Finance (the “Staff”) of the Securities and Exchange Commission (the “Commission”) with respect to the Company’s confidential submission of Amendment No. 2 to the draft Registration Statement on Form S-1 submitted on June 6, 2014 (the “Registration Statement”), as set forth in the Staff’s letter dated June 20, 2014 (the “Comment Letter”). The Company is concurrently confidentially submitting Amendment No. 3 to the confidential submission of the Registration Statement (“Amendment No. 3”), which includes changes to reflect responses to the Staff’s comments and other updates.</w:t>
      </w:r>
    </w:p>
    <w:p>
      <w:pPr>
        <w:spacing w:after="0" w:line="184"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For reference purposes, the text of the Comment Letter has been reproduced and italicized herein with responses below each numbered comment. Unless otherwise indicated, page references in the descriptions of the Staff’s comments refer to the Registration Statement, and page references in the responses refer to Amendment No. 3. All capitalized terms used and not otherwise defined herein shall have the meanings set forth in Amendment No. 3.</w:t>
      </w:r>
    </w:p>
    <w:p>
      <w:pPr>
        <w:spacing w:after="0" w:line="176"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The responses provided herein are based upon information provided to Goodwin Procter LLP by the Company. In addition to confidentially submitting this letter via EDGAR, we are sending via Federal Express four (4) copies of each of this letter and Amendment No. 3 (marked to show changes from the Registration Statement).</w:t>
      </w:r>
    </w:p>
    <w:p>
      <w:pPr>
        <w:sectPr>
          <w:pgSz w:w="11900" w:h="16838" w:orient="portrait"/>
          <w:cols w:equalWidth="0" w:num="1">
            <w:col w:w="11400"/>
          </w:cols>
          <w:pgMar w:left="240" w:top="121" w:right="25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Front Cover Page Gatefold Graphics</w:t>
      </w:r>
    </w:p>
    <w:p>
      <w:pPr>
        <w:spacing w:after="0" w:line="129" w:lineRule="exact"/>
        <w:rPr>
          <w:sz w:val="20"/>
          <w:szCs w:val="20"/>
          <w:color w:val="auto"/>
        </w:rPr>
      </w:pPr>
    </w:p>
    <w:p>
      <w:pPr>
        <w:ind w:left="900" w:right="140" w:hanging="446"/>
        <w:spacing w:after="0" w:line="284"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gatefold graphics state that there have been “10,000+ trained and certified” at HubSpot Academy. Please indicate the type of certification received by attendees of your online training.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In response to the Staff’s comment, the Company has revised its gatefold graphics to remove the reference to certification.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Overview, page 45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60</w:t>
      </w:r>
    </w:p>
    <w:p>
      <w:pPr>
        <w:spacing w:after="0" w:line="129" w:lineRule="exact"/>
        <w:rPr>
          <w:sz w:val="20"/>
          <w:szCs w:val="20"/>
          <w:color w:val="auto"/>
        </w:rPr>
      </w:pPr>
    </w:p>
    <w:p>
      <w:pPr>
        <w:ind w:left="900" w:right="60" w:hanging="446"/>
        <w:spacing w:after="0" w:line="259"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indicate that as of March 31, 2014, you have approximately 19% of customers that were located outside of the United States and these customers generated 20% of your total revenue. Please tell us what consideration was given to disclosing the amount of cash held by your foreign subsidiaries. Further, if applicable, please also tell us what consideration was given to disclosing a statement that you would need to accrue and pay taxes if repatriated and a statement that you do not intend to repatriate the funds. We refer you to Item 303(a)(1) of Regulation S-K.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In response to the Staff’s comment, the Company has revised the disclosure on page 60.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117" w:lineRule="exact"/>
        <w:rPr>
          <w:sz w:val="20"/>
          <w:szCs w:val="20"/>
          <w:color w:val="auto"/>
        </w:rPr>
      </w:pPr>
    </w:p>
    <w:p>
      <w:pPr>
        <w:ind w:right="7920" w:firstLine="8"/>
        <w:spacing w:after="0" w:line="405" w:lineRule="auto"/>
        <w:tabs>
          <w:tab w:leader="none" w:pos="180" w:val="left"/>
        </w:tabs>
        <w:numPr>
          <w:ilvl w:val="0"/>
          <w:numId w:val="9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Summary of Significant Accounting Policies Unaudited Pro Forma Loss Per Share, page F-11</w:t>
      </w:r>
    </w:p>
    <w:p>
      <w:pPr>
        <w:ind w:left="900" w:hanging="446"/>
        <w:spacing w:after="0" w:line="261"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2. Please disclose whether the RSUs are forfeitable should employment terminate subsequent to the occurrence of the IPO but prior to the liquidity condition being met (before the expiration of the six month period). In this regard, explain why the six month period represents a substantive service condition. That is, explain why the liquidity condition would not be satisfied upon the IPO’s effectiveness.</w:t>
      </w:r>
    </w:p>
    <w:p>
      <w:pPr>
        <w:spacing w:after="0" w:line="7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RESPONSE: In response to the Staff’s comment, the Company has revised the disclosure on pages F-11 and F-26. The Company advises the Staff that, to the extent the time-based service condition is satisfied, RSUs are not forfeitable should employment terminate subsequent</w:t>
      </w:r>
    </w:p>
    <w:p>
      <w:pPr>
        <w:sectPr>
          <w:pgSz w:w="11900" w:h="16838" w:orient="portrait"/>
          <w:cols w:equalWidth="0" w:num="1">
            <w:col w:w="11420"/>
          </w:cols>
          <w:pgMar w:left="240" w:top="270"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 the occurrence of the IPO but prior to the liquidity condition being met (before the expiration of the six month period). Accordingly, the Company does not consider the six month period to be a substantive service condition. Upon the IPO’s effectiveness, although the liquidity condition would not be satisfied, the performance condition will have become probable and the Company will begin to recognize stock-based compensation expense at such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F-13</w:t>
      </w:r>
    </w:p>
    <w:p>
      <w:pPr>
        <w:spacing w:after="0" w:line="129" w:lineRule="exact"/>
        <w:rPr>
          <w:sz w:val="20"/>
          <w:szCs w:val="20"/>
          <w:color w:val="auto"/>
        </w:rPr>
      </w:pPr>
    </w:p>
    <w:p>
      <w:pPr>
        <w:ind w:left="900" w:right="80" w:hanging="446"/>
        <w:spacing w:after="0" w:line="257"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3 that you believe the second type of arrangement is not within the scope of ASC 605-45. Please clarify whether the partner’s customer will enter into any agreement or licensing rights with you to have the right to access your software. Indicate whether the partner’s customer will seek remedy from your partner or you. That is, tell us whom the partner’s customer will consider responsible for the acceptability and fulfillment of the services. Describe how any marketing materials or other representations made in executing these arrangements describe your role. Your response should address how you considered that you are hosting and providing the services that the customers want.</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RESPONSE: In response to the Staff’s comment, the Company advises the Staff that in the second type of arrangement, the partner’s customer (referred to in this letter as the “end user”) will not enter into any agreement or licensing rights with the Company to have the right to access the Company’s platform. Instead, the partner contracts with the end user, as the Company’s platform may be one of many services offered to the end user by the partner. The pricing of the Company’s platform and the amounts billed to the end user pursuant to these contracts are not within the control of the Company, and any other services offered are determined and provided by the partner.</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is typical for its industry, the Company’s platform infrastructure is a multi-tenant, SaaS offering for its customers and end users hosted exclusively by the Company. However, while the contractual agreement between the Company and its partners in the second type of arrangement provides that the Company’s subscription service is developed, operated and maintained by the Company on its website for customers and end users, it does not include, among other things, training, consulting, support or other professional services for end users. Further, the agreement states that the partner is responsible should an end user have questions or requests for support or training. In such event, the partner may consult with the Company on how the partner may provide support to its end users.</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promote continued use of its platform, the Company will, from time to time and at no additional cost, reply to direct requests for support from end users and offer assistance with basic issues, such as how to use certain platform features. End users typically become aware of the</w:t>
      </w:r>
    </w:p>
    <w:p>
      <w:pPr>
        <w:sectPr>
          <w:pgSz w:w="11900" w:h="16838" w:orient="portrait"/>
          <w:cols w:equalWidth="0" w:num="1">
            <w:col w:w="11420"/>
          </w:cols>
          <w:pgMar w:left="240" w:top="270"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availability of such assistance and the opportunity to make direct requests to the Company when they are set up by their partner as portal users (i.e., personnel who are given access to features and functions of the end user’s portal managed by the partner on the HubSpot platform pursuant to the partner’s agreement with the Company) and interact with the platform, which provides a support telephone number and live online help chat feature for all portal users. Neither the Company nor, to the Company’s knowledge, any of its partners markets the availability of such assistance for end users. If an issue is more complex in nature—for example, should an end user seek guidance on how to effectively use content creation to generate leads—the Company will instead notify the responsible partner that its end user requires additional support and consulting. The Company does not assign, or even make available, an account manager or consultant to end users to provide assistance on topics such as marketing strategy and program design. The Company does, however, offer these services for its own customers, including partners who are themselves customers of the Company. End users seek those services directly from their respective partners.</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event that the Company’s platform does not meet the needs or standards of an end user, performs poorly or an end user does not otherwise receive the services it expects, the end user’s recourse is contractually with the partner, not the Company. In addition, since the end user’s business relationship for its marketing services, including access to the Company’s marketing platform, is with the partner, the end user will look to the partner for remedy for defects or poor performance with the Company’s platform.</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Company’s knowledge, marketing materials circulated by the Company’s partners in connection with executing arrangements of the second type typically involve the promotion of the partner’s services, including inbound marketing and sales services, as their own. Such services are not marketed as HubSpot services, notwithstanding that the HubSpot platform is incorporated within those services and is developed, operated and maintained by the Company, as described above. By way of example, the Company notes for the Staff that New Breed Marketing, a partner that is the subject of one of the case studies included in the Registration Statement, uses its website to promote the inbound marketing and sales services it provides as its own even though it uses the Company’s platform to manage its clients’ marketing strategies.</w:t>
      </w:r>
    </w:p>
    <w:p>
      <w:pPr>
        <w:spacing w:after="0" w:line="91" w:lineRule="exact"/>
        <w:rPr>
          <w:sz w:val="20"/>
          <w:szCs w:val="20"/>
          <w:color w:val="auto"/>
        </w:rPr>
      </w:pPr>
    </w:p>
    <w:p>
      <w:pPr>
        <w:ind w:left="900" w:right="20" w:hanging="446"/>
        <w:spacing w:after="0" w:line="257"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your response to prior comment 3, you explain that you do not receive an identifiable benefit from the cash consideration paid to the partner that is sufficiently separable from the partner’s purchase of your products. Please provide an analysis that supports this conclusion. Since you do pay a commission for the first type of arrangement, explain why you believe that you could not have entered into an exchange transaction with a party other than the purchaser of your services in order to receive that benefit. You also state as a risk factor that you rely on your partners to provide certain services to you and your customers as well as pursue sales. Please clarify how you analyzed such transactions under ASC 605-50-45-2 pertaining to presumptions that overcome the reduction of revenue.</w:t>
      </w:r>
    </w:p>
    <w:p>
      <w:pPr>
        <w:sectPr>
          <w:pgSz w:w="11900" w:h="16838" w:orient="portrait"/>
          <w:cols w:equalWidth="0" w:num="1">
            <w:col w:w="11380"/>
          </w:cols>
          <w:pgMar w:left="240" w:top="270" w:right="2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RESPONSE: In accordance with the guidance provided in ASC 605-50-45-2, cash consideration paid to the Company’s partners is presumed to be a reduction of the selling price of the Company’s platform and should therefore be characterized as a reduction of revenue on its statement of income unless certain conditions are met, one of which is that the vendor receives an identifiable benefit (goods or services) in exchange for such consideration. The Company advises the Staff that the Company’s partners pursue sales of the Company’s platform to the end users, and the Company pays cash consideration to these partners in exchange for such resales. The Company does not receive any services from these partners, either explicit or implicit. The pricing of the Company’s platform and the amounts billed to the end user are not within the control of the Company, any related services are offered and provided by the partner to the end user and the Company receives no tangible benefit from the relationship with the partner beyond the net consideration to which it is entitled. Accordingly, and in response to the Staff’s comment regarding its risk factor disclosure, the Company has revised the disclosure on pages 12, 63 and F-14 to reflect the foregoing and to clarify that its partners do not provide services to the Company other than pursuing sales of the Company’s platform to end users. In addition, for the foregoing reasons, the Company has not analyzed whether it could have entered into an exchange transaction with a party other than the purchaser of its platform.</w:t>
      </w:r>
    </w:p>
    <w:p>
      <w:pPr>
        <w:spacing w:after="0" w:line="96" w:lineRule="exact"/>
        <w:rPr>
          <w:sz w:val="20"/>
          <w:szCs w:val="20"/>
          <w:color w:val="auto"/>
        </w:rPr>
      </w:pPr>
    </w:p>
    <w:p>
      <w:pPr>
        <w:ind w:left="900" w:hanging="446"/>
        <w:spacing w:after="0" w:line="267"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clarify whether your partners pay the full purchase price to you or whether your partner remits only the proceeds net of the rebate or incentive. In addition, please tell us what consideration was given to ASC 605-50-50-1 such as disclosing the amount of your cash rebates to your partners that was recognized in your consolidated statement of income to the extent this amount was significant.</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RESPONSE: The Company advises the Staff that the Company’s partners pay the full purchase price to the Company for end user subscriptions. In addition, in accordance with the guidance provided in ASC 605-50-50-1, the Company has not disclosed the nature of the partner rebates or the amounts recognized for such rebates as they are not significant. The aggregate amount of partner rebates during 2011, 2012, 2013 and the three months ended March 31, 2014 was $387,987, $854,664, $995,442 and $301,288, respectively.</w:t>
      </w:r>
    </w:p>
    <w:p>
      <w:pPr>
        <w:spacing w:after="0" w:line="288" w:lineRule="exact"/>
        <w:rPr>
          <w:sz w:val="20"/>
          <w:szCs w:val="20"/>
          <w:color w:val="auto"/>
        </w:rPr>
      </w:pPr>
    </w:p>
    <w:p>
      <w:pPr>
        <w:ind w:left="280" w:hanging="272"/>
        <w:spacing w:after="0"/>
        <w:tabs>
          <w:tab w:leader="none" w:pos="280"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Income Taxes, page F-27</w:t>
      </w:r>
    </w:p>
    <w:p>
      <w:pPr>
        <w:spacing w:after="0" w:line="128" w:lineRule="exact"/>
        <w:rPr>
          <w:rFonts w:ascii="Times New Roman" w:cs="Times New Roman" w:eastAsia="Times New Roman" w:hAnsi="Times New Roman"/>
          <w:sz w:val="18"/>
          <w:szCs w:val="18"/>
          <w:u w:val="single" w:color="auto"/>
          <w:color w:val="auto"/>
        </w:rPr>
      </w:pPr>
    </w:p>
    <w:p>
      <w:pPr>
        <w:ind w:left="900" w:right="80" w:hanging="446"/>
        <w:spacing w:after="0" w:line="267" w:lineRule="auto"/>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we have noted previously, 20% of your total revenue as of March 31, 2014 is attributed to your customers outside of the United States. Additionally, we note that you opened your first international office in January 2013. Please explain why you have minimal amounts allocated to foreign income or losses in the first table. Tell us what</w:t>
      </w:r>
    </w:p>
    <w:p>
      <w:pPr>
        <w:sectPr>
          <w:pgSz w:w="11900" w:h="16838" w:orient="portrait"/>
          <w:cols w:equalWidth="0" w:num="1">
            <w:col w:w="11420"/>
          </w:cols>
          <w:pgMar w:left="240" w:top="270"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7" w:lineRule="exact"/>
        <w:rPr>
          <w:sz w:val="20"/>
          <w:szCs w:val="20"/>
          <w:color w:val="auto"/>
        </w:rPr>
      </w:pPr>
    </w:p>
    <w:p>
      <w:pPr>
        <w:jc w:val="both"/>
        <w:ind w:left="920" w:right="80"/>
        <w:spacing w:after="0" w:line="267" w:lineRule="auto"/>
        <w:rPr>
          <w:sz w:val="20"/>
          <w:szCs w:val="20"/>
          <w:color w:val="auto"/>
        </w:rPr>
      </w:pPr>
      <w:r>
        <w:rPr>
          <w:rFonts w:ascii="Times New Roman" w:cs="Times New Roman" w:eastAsia="Times New Roman" w:hAnsi="Times New Roman"/>
          <w:sz w:val="18"/>
          <w:szCs w:val="18"/>
          <w:i w:val="1"/>
          <w:iCs w:val="1"/>
          <w:color w:val="auto"/>
        </w:rPr>
        <w:t>consideration was given to disclosing the amount of earnings from foreign operations on which you have not provided taxes. Further, tell us how you considered disclosing the amount of unrecognized deferred tax liability or include a statement that such determination is not practicable. We refer you to ASC 740-30-50-2.</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RESPONSE: In response to the Staff’s comment, the Company has revised the disclosure on page F-28 to include a statement that it believes that a determination of the amount of any unrecognized deferred tax liability is impracticable and that the amount of earnings from its foreign operations for which the Company has not provided taxes is not material. The Company respectfully submits that it has not provided taxes on any of its undistributed earnings from foreign operations because it currently plans to indefinitely reinvest such earnings outside of the United States. The Company advises the staff that while 17% and 20% of the Company’s total revenue for the year ended December 31, 2013 and the three months ended March 31, 2014, respectively, was attributable to its customers physically located outside of the United States, 4% and 9%, respectively, of the Company’s revenue for such periods was attributable to the Company’s foreign tax jurisdictions, of which there was only one (Ireland).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should have any questions concerning the enclosed matters, please contact the undersigned at (617) 570-1928.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C. Theis,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 Theis,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50" w:lineRule="exact"/>
        <w:rPr>
          <w:sz w:val="20"/>
          <w:szCs w:val="20"/>
          <w:color w:val="auto"/>
        </w:rPr>
      </w:pPr>
    </w:p>
    <w:p>
      <w:pPr>
        <w:ind w:left="460" w:right="8820" w:hanging="452"/>
        <w:spacing w:after="0" w:line="277" w:lineRule="auto"/>
        <w:tabs>
          <w:tab w:leader="none" w:pos="4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Brian Halligan, </w:t>
      </w:r>
      <w:r>
        <w:rPr>
          <w:rFonts w:ascii="Times New Roman" w:cs="Times New Roman" w:eastAsia="Times New Roman" w:hAnsi="Times New Roman"/>
          <w:sz w:val="17"/>
          <w:szCs w:val="17"/>
          <w:i w:val="1"/>
          <w:iCs w:val="1"/>
          <w:color w:val="auto"/>
        </w:rPr>
        <w:t>HubSpot, Inc.</w:t>
      </w:r>
      <w:r>
        <w:rPr>
          <w:rFonts w:ascii="Times New Roman" w:cs="Times New Roman" w:eastAsia="Times New Roman" w:hAnsi="Times New Roman"/>
          <w:sz w:val="17"/>
          <w:szCs w:val="17"/>
          <w:color w:val="auto"/>
        </w:rPr>
        <w:t xml:space="preserve"> John Kelleher, </w:t>
      </w:r>
      <w:r>
        <w:rPr>
          <w:rFonts w:ascii="Times New Roman" w:cs="Times New Roman" w:eastAsia="Times New Roman" w:hAnsi="Times New Roman"/>
          <w:sz w:val="17"/>
          <w:szCs w:val="17"/>
          <w:i w:val="1"/>
          <w:iCs w:val="1"/>
          <w:color w:val="auto"/>
        </w:rPr>
        <w:t>HubSpot, Inc.</w:t>
      </w:r>
    </w:p>
    <w:p>
      <w:pPr>
        <w:spacing w:after="0" w:line="1"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Mark T. Bettencourt, </w:t>
      </w:r>
      <w:r>
        <w:rPr>
          <w:rFonts w:ascii="Times New Roman" w:cs="Times New Roman" w:eastAsia="Times New Roman" w:hAnsi="Times New Roman"/>
          <w:sz w:val="18"/>
          <w:szCs w:val="18"/>
          <w:i w:val="1"/>
          <w:iCs w:val="1"/>
          <w:color w:val="auto"/>
        </w:rPr>
        <w:t>Goodwin Procter LLP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1)"/>
      <w:numFmt w:val="decimal"/>
      <w:start w:val="2"/>
    </w:lvl>
    <w:lvl w:ilvl="1">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3"/>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2"/>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1)"/>
      <w:numFmt w:val="decimal"/>
      <w:start w:val="1"/>
    </w:lvl>
    <w:lvl w:ilvl="1">
      <w:lvlJc w:val="left"/>
      <w:lvlText w:val="(%2)"/>
      <w:numFmt w:val="lowerRoman"/>
      <w:start w:val="2"/>
    </w:lvl>
  </w:abstractNum>
  <w:abstractNum w:abstractNumId="63">
    <w:nsid w:val="1A27709E"/>
    <w:multiLevelType w:val="hybridMultilevel"/>
    <w:lvl w:ilvl="0">
      <w:lvlJc w:val="left"/>
      <w:lvlText w:val="%1"/>
      <w:numFmt w:val="decimal"/>
      <w:start w:val="1"/>
    </w:lvl>
    <w:lvl w:ilvl="1">
      <w:lvlJc w:val="left"/>
      <w:lvlText w:val="(%2)"/>
      <w:numFmt w:val="lowerRoman"/>
      <w:start w:val="7"/>
    </w:lvl>
  </w:abstractNum>
  <w:abstractNum w:abstractNumId="64">
    <w:nsid w:val="71EA1109"/>
    <w:multiLevelType w:val="hybridMultilevel"/>
    <w:lvl w:ilvl="0">
      <w:lvlJc w:val="left"/>
      <w:lvlText w:val="(%1)"/>
      <w:numFmt w:val="decimal"/>
      <w:start w:val="5"/>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decimal"/>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2"/>
    </w:lvl>
  </w:abstractNum>
  <w:abstractNum w:abstractNumId="96">
    <w:nsid w:val="6FC75AF8"/>
    <w:multiLevelType w:val="hybridMultilevel"/>
    <w:lvl w:ilvl="0">
      <w:lvlJc w:val="left"/>
      <w:lvlText w:val="%1."/>
      <w:numFmt w:val="decimal"/>
      <w:start w:val="2"/>
    </w:lvl>
    <w:lvl w:ilvl="1">
      <w:lvlJc w:val="left"/>
      <w:lvlText w:val="%2."/>
      <w:numFmt w:val="decimal"/>
      <w:start w:val="3"/>
    </w:lvl>
  </w:abstractNum>
  <w:abstractNum w:abstractNumId="97">
    <w:nsid w:val="6A5F7029"/>
    <w:multiLevelType w:val="hybridMultilevel"/>
    <w:lvl w:ilvl="0">
      <w:lvlJc w:val="left"/>
      <w:lvlText w:val="%1."/>
      <w:numFmt w:val="decimal"/>
      <w:start w:val="4"/>
    </w:lvl>
  </w:abstractNum>
  <w:abstractNum w:abstractNumId="98">
    <w:nsid w:val="7D5E18F8"/>
    <w:multiLevelType w:val="hybridMultilevel"/>
    <w:lvl w:ilvl="0">
      <w:lvlJc w:val="left"/>
      <w:lvlText w:val="%1."/>
      <w:numFmt w:val="decimal"/>
      <w:start w:val="5"/>
    </w:lvl>
  </w:abstractNum>
  <w:abstractNum w:abstractNumId="99">
    <w:nsid w:val="5F3534A4"/>
    <w:multiLevelType w:val="hybridMultilevel"/>
    <w:lvl w:ilvl="0">
      <w:lvlJc w:val="left"/>
      <w:lvlText w:val="%1."/>
      <w:numFmt w:val="decimal"/>
      <w:start w:val="6"/>
    </w:lvl>
  </w:abstractNum>
  <w:abstractNum w:abstractNumId="100">
    <w:nsid w:val="73A1821B"/>
    <w:multiLevelType w:val="hybridMultilevel"/>
    <w:lvl w:ilvl="0">
      <w:lvlJc w:val="left"/>
      <w:lvlText w:val="%1."/>
      <w:numFmt w:val="decimal"/>
      <w:start w:val="11"/>
    </w:lvl>
    <w:lvl w:ilvl="1">
      <w:lvlJc w:val="left"/>
      <w:lvlText w:val="%2."/>
      <w:numFmt w:val="decimal"/>
      <w:start w:val="7"/>
    </w:lvl>
  </w:abstractNum>
  <w:abstractNum w:abstractNumId="101">
    <w:nsid w:val="7DE6771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2020-01-27T21:08:38Z</dcterms:created>
  <dcterms:modified xsi:type="dcterms:W3CDTF">2020-01-27T21:08:38Z</dcterms:modified>
</cp:coreProperties>
</file>