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Rangan Yamini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HUBSPOT,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 CANAL PARK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HUBSPOT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HUBS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85"/>
        <w:spacing w:after="0"/>
        <w:rPr>
          <w:sz w:val="20"/>
          <w:szCs w:val="20"/>
          <w:color w:val="auto"/>
        </w:rPr>
      </w:pPr>
      <w:r>
        <w:rPr>
          <w:rFonts w:ascii="Times New Roman" w:cs="Times New Roman" w:eastAsia="Times New Roman" w:hAnsi="Times New Roman"/>
          <w:sz w:val="17"/>
          <w:szCs w:val="17"/>
          <w:color w:val="0000FF"/>
        </w:rPr>
        <w:t>Chief Executive Officer &amp; Pres</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02141</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05/12/2026</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2,750</w:t>
            </w:r>
          </w:p>
        </w:tc>
        <w:tc>
          <w:tcPr>
            <w:tcW w:w="4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189.84</w:t>
            </w:r>
          </w:p>
        </w:tc>
        <w:tc>
          <w:tcPr>
            <w:tcW w:w="1200" w:type="dxa"/>
            <w:vAlign w:val="bottom"/>
            <w:tcBorders>
              <w:bottom w:val="single" w:sz="8" w:color="2C2C2C"/>
            </w:tcBorders>
            <w:gridSpan w:val="3"/>
          </w:tcPr>
          <w:p>
            <w:pPr>
              <w:jc w:val="center"/>
              <w:ind w:right="180"/>
              <w:spacing w:after="0"/>
              <w:rPr>
                <w:sz w:val="20"/>
                <w:szCs w:val="20"/>
                <w:color w:val="auto"/>
              </w:rPr>
            </w:pPr>
            <w:r>
              <w:rPr>
                <w:rFonts w:ascii="Times New Roman" w:cs="Times New Roman" w:eastAsia="Times New Roman" w:hAnsi="Times New Roman"/>
                <w:sz w:val="17"/>
                <w:szCs w:val="17"/>
                <w:color w:val="0000FF"/>
              </w:rPr>
              <w:t>102,982</w:t>
            </w:r>
            <w:r>
              <w:rPr>
                <w:rFonts w:ascii="Times New Roman" w:cs="Times New Roman" w:eastAsia="Times New Roman" w:hAnsi="Times New Roman"/>
                <w:sz w:val="22"/>
                <w:szCs w:val="22"/>
                <w:color w:val="008000"/>
                <w:vertAlign w:val="superscript"/>
              </w:rPr>
              <w:t>(1)</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7"/>
                <w:szCs w:val="17"/>
                <w:color w:val="0000FF"/>
              </w:rPr>
              <w:t>5,575</w:t>
            </w:r>
          </w:p>
        </w:tc>
        <w:tc>
          <w:tcPr>
            <w:tcW w:w="34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10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2,595 shares returned to the reporting person as an annuity payment by the KK 2024 GRAT Grantor Retained Annuity Trust dated March 1, 2024 for which the reporting person is the trustee.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KK 2024 GRAT Grantor Retained Annuity Trust dated March 1, 2024 for which the reporting person is the trustee.</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Joseph Theis, attorney-in-</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05/12/2026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53409" TargetMode="External"/><Relationship Id="rId14" Type="http://schemas.openxmlformats.org/officeDocument/2006/relationships/hyperlink" Target="http://www.sec.gov/cgi-bin/browse-edgar?action=getcompany&amp;CIK=0001404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2026-05-12T15:13:42Z</dcterms:created>
  <dcterms:modified xsi:type="dcterms:W3CDTF">2026-05-12T15:13:42Z</dcterms:modified>
</cp:coreProperties>
</file>