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144780</wp:posOffset>
            </wp:positionH>
            <wp:positionV relativeFrom="page">
              <wp:posOffset>269875</wp:posOffset>
            </wp:positionV>
            <wp:extent cx="727202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698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283845</wp:posOffset>
            </wp:positionV>
            <wp:extent cx="72720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6985"/>
                    </a:xfrm>
                    <a:prstGeom prst="rect">
                      <a:avLst/>
                    </a:prstGeom>
                    <a:noFill/>
                  </pic:spPr>
                </pic:pic>
              </a:graphicData>
            </a:graphic>
          </wp:anchor>
        </w:drawing>
        <w:t>UNITED STATES</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26"/>
          <w:szCs w:val="26"/>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2916555</wp:posOffset>
            </wp:positionH>
            <wp:positionV relativeFrom="paragraph">
              <wp:posOffset>72390</wp:posOffset>
            </wp:positionV>
            <wp:extent cx="144907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6985"/>
                    </a:xfrm>
                    <a:prstGeom prst="rect">
                      <a:avLst/>
                    </a:prstGeom>
                    <a:noFill/>
                  </pic:spPr>
                </pic:pic>
              </a:graphicData>
            </a:graphic>
          </wp:anchor>
        </w:drawing>
      </w:r>
    </w:p>
    <w:p>
      <w:pPr>
        <w:spacing w:after="0" w:line="158" w:lineRule="exact"/>
        <w:rPr>
          <w:sz w:val="24"/>
          <w:szCs w:val="24"/>
          <w:color w:val="auto"/>
        </w:rPr>
      </w:pPr>
    </w:p>
    <w:p>
      <w:pPr>
        <w:jc w:val="center"/>
        <w:ind w:right="20"/>
        <w:spacing w:after="0"/>
        <w:rPr>
          <w:sz w:val="20"/>
          <w:szCs w:val="20"/>
          <w:color w:val="auto"/>
        </w:rPr>
      </w:pPr>
      <w:r>
        <w:rPr>
          <w:rFonts w:ascii="Arial" w:cs="Arial" w:eastAsia="Arial" w:hAnsi="Arial"/>
          <w:sz w:val="26"/>
          <w:szCs w:val="2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2916555</wp:posOffset>
            </wp:positionH>
            <wp:positionV relativeFrom="paragraph">
              <wp:posOffset>89535</wp:posOffset>
            </wp:positionV>
            <wp:extent cx="144907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698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(MARK ONE)</w:t>
      </w:r>
    </w:p>
    <w:p>
      <w:pPr>
        <w:spacing w:after="0" w:line="15"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77"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FOR THE QUARTERLY PERIOD ENDED March 31, 2018</w:t>
      </w:r>
    </w:p>
    <w:p>
      <w:pPr>
        <w:spacing w:after="0" w:line="91"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OR</w:t>
      </w:r>
    </w:p>
    <w:p>
      <w:pPr>
        <w:spacing w:after="0" w:line="83"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82" w:lineRule="exact"/>
        <w:rPr>
          <w:sz w:val="24"/>
          <w:szCs w:val="24"/>
          <w:color w:val="auto"/>
        </w:rPr>
      </w:pPr>
    </w:p>
    <w:tbl>
      <w:tblPr>
        <w:tblLayout w:type="fixed"/>
        <w:tblInd w:w="2060" w:type="dxa"/>
        <w:tblCellMar>
          <w:top w:w="0" w:type="dxa"/>
          <w:left w:w="0" w:type="dxa"/>
          <w:bottom w:w="0" w:type="dxa"/>
          <w:right w:w="0" w:type="dxa"/>
        </w:tblCellMar>
      </w:tblPr>
      <w:tr>
        <w:trPr>
          <w:trHeight w:val="172"/>
        </w:trPr>
        <w:tc>
          <w:tcPr>
            <w:tcW w:w="4200" w:type="dxa"/>
            <w:vAlign w:val="bottom"/>
            <w:gridSpan w:val="2"/>
          </w:tcPr>
          <w:p>
            <w:pPr>
              <w:ind w:left="1420"/>
              <w:spacing w:after="0"/>
              <w:rPr>
                <w:sz w:val="20"/>
                <w:szCs w:val="20"/>
                <w:color w:val="auto"/>
              </w:rPr>
            </w:pPr>
            <w:r>
              <w:rPr>
                <w:rFonts w:ascii="Arial" w:cs="Arial" w:eastAsia="Arial" w:hAnsi="Arial"/>
                <w:sz w:val="15"/>
                <w:szCs w:val="15"/>
                <w:b w:val="1"/>
                <w:bCs w:val="1"/>
                <w:color w:val="auto"/>
              </w:rPr>
              <w:t>FOR THE TRANSITION PERIOD FROM</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Pr>
          <w:p>
            <w:pPr>
              <w:ind w:left="40"/>
              <w:spacing w:after="0"/>
              <w:rPr>
                <w:sz w:val="20"/>
                <w:szCs w:val="20"/>
                <w:color w:val="auto"/>
              </w:rPr>
            </w:pPr>
            <w:r>
              <w:rPr>
                <w:rFonts w:ascii="Arial" w:cs="Arial" w:eastAsia="Arial" w:hAnsi="Arial"/>
                <w:sz w:val="15"/>
                <w:szCs w:val="15"/>
                <w:b w:val="1"/>
                <w:bCs w:val="1"/>
                <w:color w:val="auto"/>
              </w:rPr>
              <w:t>TO</w:t>
            </w:r>
          </w:p>
        </w:tc>
        <w:tc>
          <w:tcPr>
            <w:tcW w:w="740" w:type="dxa"/>
            <w:vAlign w:val="bottom"/>
            <w:tcBorders>
              <w:bottom w:val="single" w:sz="8" w:color="auto"/>
            </w:tcBorders>
          </w:tcPr>
          <w:p>
            <w:pPr>
              <w:spacing w:after="0"/>
              <w:rPr>
                <w:sz w:val="14"/>
                <w:szCs w:val="14"/>
                <w:color w:val="auto"/>
              </w:rPr>
            </w:pPr>
          </w:p>
        </w:tc>
        <w:tc>
          <w:tcPr>
            <w:tcW w:w="1120" w:type="dxa"/>
            <w:vAlign w:val="bottom"/>
          </w:tcPr>
          <w:p>
            <w:pPr>
              <w:spacing w:after="0"/>
              <w:rPr>
                <w:sz w:val="14"/>
                <w:szCs w:val="14"/>
                <w:color w:val="auto"/>
              </w:rPr>
            </w:pPr>
          </w:p>
        </w:tc>
      </w:tr>
      <w:tr>
        <w:trPr>
          <w:trHeight w:val="276"/>
        </w:trPr>
        <w:tc>
          <w:tcPr>
            <w:tcW w:w="7060" w:type="dxa"/>
            <w:vAlign w:val="bottom"/>
            <w:gridSpan w:val="7"/>
          </w:tcPr>
          <w:p>
            <w:pPr>
              <w:jc w:val="center"/>
              <w:ind w:left="232"/>
              <w:spacing w:after="0"/>
              <w:rPr>
                <w:sz w:val="20"/>
                <w:szCs w:val="20"/>
                <w:color w:val="auto"/>
              </w:rPr>
            </w:pPr>
            <w:r>
              <w:rPr>
                <w:rFonts w:ascii="Arial" w:cs="Arial" w:eastAsia="Arial" w:hAnsi="Arial"/>
                <w:sz w:val="15"/>
                <w:szCs w:val="15"/>
                <w:b w:val="1"/>
                <w:bCs w:val="1"/>
                <w:color w:val="auto"/>
                <w:w w:val="96"/>
              </w:rPr>
              <w:t>COMMISSION FILE NUMBER 001-36680</w:t>
            </w:r>
          </w:p>
        </w:tc>
      </w:tr>
      <w:tr>
        <w:trPr>
          <w:trHeight w:val="110"/>
        </w:trPr>
        <w:tc>
          <w:tcPr>
            <w:tcW w:w="2540" w:type="dxa"/>
            <w:vAlign w:val="bottom"/>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470"/>
        </w:trPr>
        <w:tc>
          <w:tcPr>
            <w:tcW w:w="2540" w:type="dxa"/>
            <w:vAlign w:val="bottom"/>
          </w:tcPr>
          <w:p>
            <w:pPr>
              <w:spacing w:after="0"/>
              <w:rPr>
                <w:sz w:val="24"/>
                <w:szCs w:val="24"/>
                <w:color w:val="auto"/>
              </w:rPr>
            </w:pPr>
          </w:p>
        </w:tc>
        <w:tc>
          <w:tcPr>
            <w:tcW w:w="2280" w:type="dxa"/>
            <w:vAlign w:val="bottom"/>
            <w:gridSpan w:val="2"/>
          </w:tcPr>
          <w:p>
            <w:pPr>
              <w:jc w:val="center"/>
              <w:ind w:right="20"/>
              <w:spacing w:after="0"/>
              <w:rPr>
                <w:sz w:val="20"/>
                <w:szCs w:val="20"/>
                <w:color w:val="auto"/>
              </w:rPr>
            </w:pPr>
            <w:r>
              <w:rPr>
                <w:rFonts w:ascii="Arial" w:cs="Arial" w:eastAsia="Arial" w:hAnsi="Arial"/>
                <w:sz w:val="35"/>
                <w:szCs w:val="35"/>
                <w:b w:val="1"/>
                <w:bCs w:val="1"/>
                <w:color w:val="auto"/>
                <w:w w:val="93"/>
              </w:rPr>
              <w:t>HubSpot, Inc.</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0"/>
        </w:trPr>
        <w:tc>
          <w:tcPr>
            <w:tcW w:w="7060" w:type="dxa"/>
            <w:vAlign w:val="bottom"/>
            <w:gridSpan w:val="7"/>
          </w:tcPr>
          <w:p>
            <w:pPr>
              <w:jc w:val="center"/>
              <w:ind w:left="212"/>
              <w:spacing w:after="0"/>
              <w:rPr>
                <w:sz w:val="20"/>
                <w:szCs w:val="20"/>
                <w:color w:val="auto"/>
              </w:rPr>
            </w:pPr>
            <w:r>
              <w:rPr>
                <w:rFonts w:ascii="Arial" w:cs="Arial" w:eastAsia="Arial" w:hAnsi="Arial"/>
                <w:sz w:val="15"/>
                <w:szCs w:val="15"/>
                <w:b w:val="1"/>
                <w:bCs w:val="1"/>
                <w:color w:val="auto"/>
                <w:w w:val="87"/>
              </w:rPr>
              <w:t>(Exact name of registrant as specified in its charter)</w:t>
            </w:r>
          </w:p>
        </w:tc>
      </w:tr>
      <w:tr>
        <w:trPr>
          <w:trHeight w:val="121"/>
        </w:trPr>
        <w:tc>
          <w:tcPr>
            <w:tcW w:w="2540" w:type="dxa"/>
            <w:vAlign w:val="bottom"/>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248"/>
        </w:trPr>
        <w:tc>
          <w:tcPr>
            <w:tcW w:w="4820" w:type="dxa"/>
            <w:vAlign w:val="bottom"/>
            <w:gridSpan w:val="3"/>
          </w:tcPr>
          <w:p>
            <w:pPr>
              <w:jc w:val="center"/>
              <w:ind w:right="3300"/>
              <w:spacing w:after="0"/>
              <w:rPr>
                <w:sz w:val="20"/>
                <w:szCs w:val="20"/>
                <w:color w:val="auto"/>
              </w:rPr>
            </w:pPr>
            <w:r>
              <w:rPr>
                <w:rFonts w:ascii="Arial" w:cs="Arial" w:eastAsia="Arial" w:hAnsi="Arial"/>
                <w:sz w:val="15"/>
                <w:szCs w:val="15"/>
                <w:b w:val="1"/>
                <w:bCs w:val="1"/>
                <w:color w:val="auto"/>
                <w:w w:val="91"/>
              </w:rPr>
              <w:t>Delaware</w:t>
            </w:r>
          </w:p>
        </w:tc>
        <w:tc>
          <w:tcPr>
            <w:tcW w:w="2240" w:type="dxa"/>
            <w:vAlign w:val="bottom"/>
            <w:gridSpan w:val="4"/>
          </w:tcPr>
          <w:p>
            <w:pPr>
              <w:jc w:val="center"/>
              <w:ind w:left="1247"/>
              <w:spacing w:after="0"/>
              <w:rPr>
                <w:sz w:val="20"/>
                <w:szCs w:val="20"/>
                <w:color w:val="auto"/>
              </w:rPr>
            </w:pPr>
            <w:r>
              <w:rPr>
                <w:rFonts w:ascii="Arial" w:cs="Arial" w:eastAsia="Arial" w:hAnsi="Arial"/>
                <w:sz w:val="15"/>
                <w:szCs w:val="15"/>
                <w:b w:val="1"/>
                <w:bCs w:val="1"/>
                <w:color w:val="auto"/>
                <w:w w:val="89"/>
              </w:rPr>
              <w:t>20-2632791</w:t>
            </w:r>
          </w:p>
        </w:tc>
      </w:tr>
      <w:tr>
        <w:trPr>
          <w:trHeight w:val="121"/>
        </w:trPr>
        <w:tc>
          <w:tcPr>
            <w:tcW w:w="4820" w:type="dxa"/>
            <w:vAlign w:val="bottom"/>
            <w:gridSpan w:val="3"/>
          </w:tcPr>
          <w:p>
            <w:pPr>
              <w:jc w:val="center"/>
              <w:ind w:right="3320"/>
              <w:spacing w:after="0" w:line="121" w:lineRule="exact"/>
              <w:rPr>
                <w:sz w:val="20"/>
                <w:szCs w:val="20"/>
                <w:color w:val="auto"/>
              </w:rPr>
            </w:pPr>
            <w:r>
              <w:rPr>
                <w:rFonts w:ascii="Arial" w:cs="Arial" w:eastAsia="Arial" w:hAnsi="Arial"/>
                <w:sz w:val="12"/>
                <w:szCs w:val="12"/>
                <w:b w:val="1"/>
                <w:bCs w:val="1"/>
                <w:color w:val="auto"/>
                <w:w w:val="88"/>
              </w:rPr>
              <w:t>(State or other jurisdiction of</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tcPr>
          <w:p>
            <w:pPr>
              <w:jc w:val="center"/>
              <w:ind w:left="142"/>
              <w:spacing w:after="0" w:line="121" w:lineRule="exact"/>
              <w:rPr>
                <w:sz w:val="20"/>
                <w:szCs w:val="20"/>
                <w:color w:val="auto"/>
              </w:rPr>
            </w:pPr>
            <w:r>
              <w:rPr>
                <w:rFonts w:ascii="Arial" w:cs="Arial" w:eastAsia="Arial" w:hAnsi="Arial"/>
                <w:sz w:val="12"/>
                <w:szCs w:val="12"/>
                <w:b w:val="1"/>
                <w:bCs w:val="1"/>
                <w:color w:val="auto"/>
                <w:w w:val="91"/>
              </w:rPr>
              <w:t>(I.R.S. Employer</w:t>
            </w:r>
          </w:p>
        </w:tc>
      </w:tr>
      <w:tr>
        <w:trPr>
          <w:trHeight w:val="150"/>
        </w:trPr>
        <w:tc>
          <w:tcPr>
            <w:tcW w:w="4820" w:type="dxa"/>
            <w:vAlign w:val="bottom"/>
            <w:gridSpan w:val="3"/>
          </w:tcPr>
          <w:p>
            <w:pPr>
              <w:jc w:val="center"/>
              <w:ind w:right="3300"/>
              <w:spacing w:after="0"/>
              <w:rPr>
                <w:sz w:val="20"/>
                <w:szCs w:val="20"/>
                <w:color w:val="auto"/>
              </w:rPr>
            </w:pPr>
            <w:r>
              <w:rPr>
                <w:rFonts w:ascii="Arial" w:cs="Arial" w:eastAsia="Arial" w:hAnsi="Arial"/>
                <w:sz w:val="12"/>
                <w:szCs w:val="12"/>
                <w:b w:val="1"/>
                <w:bCs w:val="1"/>
                <w:color w:val="auto"/>
                <w:w w:val="88"/>
              </w:rPr>
              <w:t>incorporation or organization)</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20" w:type="dxa"/>
            <w:vAlign w:val="bottom"/>
          </w:tcPr>
          <w:p>
            <w:pPr>
              <w:jc w:val="center"/>
              <w:ind w:left="142"/>
              <w:spacing w:after="0"/>
              <w:rPr>
                <w:sz w:val="20"/>
                <w:szCs w:val="20"/>
                <w:color w:val="auto"/>
              </w:rPr>
            </w:pPr>
            <w:r>
              <w:rPr>
                <w:rFonts w:ascii="Arial" w:cs="Arial" w:eastAsia="Arial" w:hAnsi="Arial"/>
                <w:sz w:val="12"/>
                <w:szCs w:val="12"/>
                <w:b w:val="1"/>
                <w:bCs w:val="1"/>
                <w:color w:val="auto"/>
                <w:w w:val="90"/>
              </w:rPr>
              <w:t>Identification No.)</w:t>
            </w:r>
          </w:p>
        </w:tc>
      </w:tr>
      <w:tr>
        <w:trPr>
          <w:trHeight w:val="237"/>
        </w:trPr>
        <w:tc>
          <w:tcPr>
            <w:tcW w:w="2540" w:type="dxa"/>
            <w:vAlign w:val="bottom"/>
          </w:tcPr>
          <w:p>
            <w:pPr>
              <w:spacing w:after="0"/>
              <w:rPr>
                <w:sz w:val="20"/>
                <w:szCs w:val="20"/>
                <w:color w:val="auto"/>
              </w:rPr>
            </w:pPr>
          </w:p>
        </w:tc>
        <w:tc>
          <w:tcPr>
            <w:tcW w:w="2280" w:type="dxa"/>
            <w:vAlign w:val="bottom"/>
            <w:gridSpan w:val="2"/>
          </w:tcPr>
          <w:p>
            <w:pPr>
              <w:jc w:val="center"/>
              <w:ind w:right="20"/>
              <w:spacing w:after="0"/>
              <w:rPr>
                <w:sz w:val="20"/>
                <w:szCs w:val="20"/>
                <w:color w:val="auto"/>
              </w:rPr>
            </w:pPr>
            <w:r>
              <w:rPr>
                <w:rFonts w:ascii="Arial" w:cs="Arial" w:eastAsia="Arial" w:hAnsi="Arial"/>
                <w:sz w:val="15"/>
                <w:szCs w:val="15"/>
                <w:b w:val="1"/>
                <w:bCs w:val="1"/>
                <w:color w:val="auto"/>
                <w:w w:val="89"/>
              </w:rPr>
              <w:t>25 First Street, 2nd Floor</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73"/>
        </w:trPr>
        <w:tc>
          <w:tcPr>
            <w:tcW w:w="2540" w:type="dxa"/>
            <w:vAlign w:val="bottom"/>
          </w:tcPr>
          <w:p>
            <w:pPr>
              <w:spacing w:after="0"/>
              <w:rPr>
                <w:sz w:val="15"/>
                <w:szCs w:val="15"/>
                <w:color w:val="auto"/>
              </w:rPr>
            </w:pPr>
          </w:p>
        </w:tc>
        <w:tc>
          <w:tcPr>
            <w:tcW w:w="2280" w:type="dxa"/>
            <w:vAlign w:val="bottom"/>
            <w:gridSpan w:val="2"/>
          </w:tcPr>
          <w:p>
            <w:pPr>
              <w:jc w:val="center"/>
              <w:spacing w:after="0"/>
              <w:rPr>
                <w:sz w:val="20"/>
                <w:szCs w:val="20"/>
                <w:color w:val="auto"/>
              </w:rPr>
            </w:pPr>
            <w:r>
              <w:rPr>
                <w:rFonts w:ascii="Arial" w:cs="Arial" w:eastAsia="Arial" w:hAnsi="Arial"/>
                <w:sz w:val="15"/>
                <w:szCs w:val="15"/>
                <w:b w:val="1"/>
                <w:bCs w:val="1"/>
                <w:color w:val="auto"/>
                <w:w w:val="86"/>
              </w:rPr>
              <w:t>Cambridge, Massachusetts, 02141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50"/>
        </w:trPr>
        <w:tc>
          <w:tcPr>
            <w:tcW w:w="2540" w:type="dxa"/>
            <w:vAlign w:val="bottom"/>
          </w:tcPr>
          <w:p>
            <w:pPr>
              <w:spacing w:after="0"/>
              <w:rPr>
                <w:sz w:val="13"/>
                <w:szCs w:val="13"/>
                <w:color w:val="auto"/>
              </w:rPr>
            </w:pPr>
          </w:p>
        </w:tc>
        <w:tc>
          <w:tcPr>
            <w:tcW w:w="228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86"/>
              </w:rPr>
              <w:t>(Address of principal executive offices)</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34"/>
        </w:trPr>
        <w:tc>
          <w:tcPr>
            <w:tcW w:w="4200" w:type="dxa"/>
            <w:vAlign w:val="bottom"/>
            <w:gridSpan w:val="2"/>
          </w:tcPr>
          <w:p>
            <w:pPr>
              <w:jc w:val="center"/>
              <w:ind w:left="3092"/>
              <w:spacing w:after="0"/>
              <w:rPr>
                <w:sz w:val="20"/>
                <w:szCs w:val="20"/>
                <w:color w:val="auto"/>
              </w:rPr>
            </w:pPr>
            <w:r>
              <w:rPr>
                <w:rFonts w:ascii="Arial" w:cs="Arial" w:eastAsia="Arial" w:hAnsi="Arial"/>
                <w:sz w:val="15"/>
                <w:szCs w:val="15"/>
                <w:b w:val="1"/>
                <w:bCs w:val="1"/>
                <w:color w:val="auto"/>
                <w:w w:val="89"/>
              </w:rPr>
              <w:t>(888) 482-7768</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50"/>
        </w:trPr>
        <w:tc>
          <w:tcPr>
            <w:tcW w:w="7060" w:type="dxa"/>
            <w:vAlign w:val="bottom"/>
            <w:gridSpan w:val="7"/>
          </w:tcPr>
          <w:p>
            <w:pPr>
              <w:jc w:val="center"/>
              <w:ind w:left="232"/>
              <w:spacing w:after="0"/>
              <w:rPr>
                <w:sz w:val="20"/>
                <w:szCs w:val="20"/>
                <w:color w:val="auto"/>
              </w:rPr>
            </w:pPr>
            <w:r>
              <w:rPr>
                <w:rFonts w:ascii="Arial" w:cs="Arial" w:eastAsia="Arial" w:hAnsi="Arial"/>
                <w:sz w:val="12"/>
                <w:szCs w:val="12"/>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2916555</wp:posOffset>
            </wp:positionH>
            <wp:positionV relativeFrom="paragraph">
              <wp:posOffset>62230</wp:posOffset>
            </wp:positionV>
            <wp:extent cx="144907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6985"/>
                    </a:xfrm>
                    <a:prstGeom prst="rect">
                      <a:avLst/>
                    </a:prstGeom>
                    <a:noFill/>
                  </pic:spPr>
                </pic:pic>
              </a:graphicData>
            </a:graphic>
          </wp:anchor>
        </w:drawing>
      </w:r>
    </w:p>
    <w:p>
      <w:pPr>
        <w:spacing w:after="0" w:line="170" w:lineRule="exact"/>
        <w:rPr>
          <w:sz w:val="24"/>
          <w:szCs w:val="24"/>
          <w:color w:val="auto"/>
        </w:rPr>
      </w:pPr>
    </w:p>
    <w:p>
      <w:pPr>
        <w:ind w:right="200" w:firstLine="520"/>
        <w:spacing w:after="0" w:line="18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3"/>
          <w:szCs w:val="13"/>
          <w:color w:val="auto"/>
        </w:rPr>
        <w:t xml:space="preserve"> NO </w:t>
      </w:r>
      <w:r>
        <w:rPr>
          <w:rFonts w:ascii="MS PGothic" w:cs="MS PGothic" w:eastAsia="MS PGothic" w:hAnsi="MS PGothic"/>
          <w:sz w:val="14"/>
          <w:szCs w:val="14"/>
          <w:color w:val="auto"/>
        </w:rPr>
        <w:t>☐</w:t>
      </w:r>
    </w:p>
    <w:p>
      <w:pPr>
        <w:spacing w:after="0" w:line="77" w:lineRule="exact"/>
        <w:rPr>
          <w:sz w:val="24"/>
          <w:szCs w:val="24"/>
          <w:color w:val="auto"/>
        </w:rPr>
      </w:pPr>
    </w:p>
    <w:p>
      <w:pPr>
        <w:ind w:right="100" w:firstLine="520"/>
        <w:spacing w:after="0" w:line="181"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2"/>
          <w:szCs w:val="12"/>
          <w:color w:val="auto"/>
        </w:rPr>
        <w:t xml:space="preserve"> NO </w:t>
      </w:r>
      <w:r>
        <w:rPr>
          <w:rFonts w:ascii="MS PGothic" w:cs="MS PGothic" w:eastAsia="MS PGothic" w:hAnsi="MS PGothic"/>
          <w:sz w:val="13"/>
          <w:szCs w:val="13"/>
          <w:color w:val="auto"/>
        </w:rPr>
        <w:t>☐</w:t>
      </w:r>
    </w:p>
    <w:p>
      <w:pPr>
        <w:spacing w:after="0" w:line="77" w:lineRule="exact"/>
        <w:rPr>
          <w:sz w:val="24"/>
          <w:szCs w:val="24"/>
          <w:color w:val="auto"/>
        </w:rPr>
      </w:pPr>
    </w:p>
    <w:p>
      <w:pPr>
        <w:ind w:right="80" w:firstLine="520"/>
        <w:spacing w:after="0" w:line="28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6"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31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4040" w:type="dxa"/>
            <w:vAlign w:val="bottom"/>
          </w:tcPr>
          <w:p>
            <w:pPr>
              <w:ind w:left="80"/>
              <w:spacing w:after="0" w:line="151" w:lineRule="exact"/>
              <w:rPr>
                <w:sz w:val="20"/>
                <w:szCs w:val="20"/>
                <w:color w:val="auto"/>
              </w:rPr>
            </w:pPr>
            <w:r>
              <w:rPr>
                <w:rFonts w:ascii="MS PGothic" w:cs="MS PGothic" w:eastAsia="MS PGothic" w:hAnsi="MS PGothic"/>
                <w:sz w:val="15"/>
                <w:szCs w:val="15"/>
                <w:color w:val="auto"/>
              </w:rPr>
              <w:t>☒</w:t>
            </w:r>
          </w:p>
        </w:tc>
        <w:tc>
          <w:tcPr>
            <w:tcW w:w="3180" w:type="dxa"/>
            <w:vAlign w:val="bottom"/>
          </w:tcPr>
          <w:p>
            <w:pPr>
              <w:ind w:left="860"/>
              <w:spacing w:after="0"/>
              <w:rPr>
                <w:sz w:val="20"/>
                <w:szCs w:val="20"/>
                <w:color w:val="auto"/>
              </w:rPr>
            </w:pPr>
            <w:r>
              <w:rPr>
                <w:rFonts w:ascii="Arial" w:cs="Arial" w:eastAsia="Arial" w:hAnsi="Arial"/>
                <w:sz w:val="13"/>
                <w:szCs w:val="13"/>
                <w:color w:val="auto"/>
              </w:rPr>
              <w:t>Accelerated filer</w:t>
            </w:r>
          </w:p>
        </w:tc>
        <w:tc>
          <w:tcPr>
            <w:tcW w:w="1100" w:type="dxa"/>
            <w:vAlign w:val="bottom"/>
          </w:tcPr>
          <w:p>
            <w:pPr>
              <w:ind w:left="880"/>
              <w:spacing w:after="0" w:line="151" w:lineRule="exact"/>
              <w:rPr>
                <w:sz w:val="20"/>
                <w:szCs w:val="20"/>
                <w:color w:val="auto"/>
              </w:rPr>
            </w:pPr>
            <w:r>
              <w:rPr>
                <w:rFonts w:ascii="MS PGothic" w:cs="MS PGothic" w:eastAsia="MS PGothic" w:hAnsi="MS PGothic"/>
                <w:sz w:val="15"/>
                <w:szCs w:val="15"/>
                <w:color w:val="auto"/>
              </w:rPr>
              <w:t>☐</w:t>
            </w:r>
          </w:p>
        </w:tc>
        <w:tc>
          <w:tcPr>
            <w:tcW w:w="20" w:type="dxa"/>
            <w:vAlign w:val="bottom"/>
          </w:tcPr>
          <w:p>
            <w:pPr>
              <w:spacing w:after="0"/>
              <w:rPr>
                <w:sz w:val="15"/>
                <w:szCs w:val="15"/>
                <w:color w:val="auto"/>
              </w:rPr>
            </w:pPr>
          </w:p>
        </w:tc>
      </w:tr>
      <w:tr>
        <w:trPr>
          <w:trHeight w:val="215"/>
        </w:trPr>
        <w:tc>
          <w:tcPr>
            <w:tcW w:w="3140" w:type="dxa"/>
            <w:vAlign w:val="bottom"/>
          </w:tcPr>
          <w:p>
            <w:pPr>
              <w:spacing w:after="0"/>
              <w:rPr>
                <w:sz w:val="20"/>
                <w:szCs w:val="20"/>
                <w:color w:val="auto"/>
              </w:rPr>
            </w:pPr>
            <w:r>
              <w:rPr>
                <w:rFonts w:ascii="Arial" w:cs="Arial" w:eastAsia="Arial" w:hAnsi="Arial"/>
                <w:sz w:val="13"/>
                <w:szCs w:val="13"/>
                <w:color w:val="auto"/>
              </w:rPr>
              <w:t>Non-accelerated filer</w:t>
            </w:r>
          </w:p>
        </w:tc>
        <w:tc>
          <w:tcPr>
            <w:tcW w:w="4040" w:type="dxa"/>
            <w:vAlign w:val="bottom"/>
          </w:tcPr>
          <w:p>
            <w:pPr>
              <w:ind w:left="8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3"/>
                <w:szCs w:val="13"/>
                <w:color w:val="auto"/>
              </w:rPr>
              <w:t xml:space="preserve"> (Do not check if a smaller reporting company)</w:t>
            </w:r>
          </w:p>
        </w:tc>
        <w:tc>
          <w:tcPr>
            <w:tcW w:w="3180" w:type="dxa"/>
            <w:vAlign w:val="bottom"/>
          </w:tcPr>
          <w:p>
            <w:pPr>
              <w:ind w:left="860"/>
              <w:spacing w:after="0"/>
              <w:rPr>
                <w:sz w:val="20"/>
                <w:szCs w:val="20"/>
                <w:color w:val="auto"/>
              </w:rPr>
            </w:pPr>
            <w:r>
              <w:rPr>
                <w:rFonts w:ascii="Arial" w:cs="Arial" w:eastAsia="Arial" w:hAnsi="Arial"/>
                <w:sz w:val="13"/>
                <w:szCs w:val="13"/>
                <w:color w:val="auto"/>
              </w:rPr>
              <w:t>Smaller reporting company</w:t>
            </w:r>
          </w:p>
        </w:tc>
        <w:tc>
          <w:tcPr>
            <w:tcW w:w="1100" w:type="dxa"/>
            <w:vAlign w:val="bottom"/>
          </w:tcPr>
          <w:p>
            <w:pPr>
              <w:ind w:left="880"/>
              <w:spacing w:after="0" w:line="151" w:lineRule="exact"/>
              <w:rPr>
                <w:sz w:val="20"/>
                <w:szCs w:val="20"/>
                <w:color w:val="auto"/>
              </w:rPr>
            </w:pPr>
            <w:r>
              <w:rPr>
                <w:rFonts w:ascii="MS PGothic" w:cs="MS PGothic" w:eastAsia="MS PGothic" w:hAnsi="MS PGothic"/>
                <w:sz w:val="15"/>
                <w:szCs w:val="15"/>
                <w:color w:val="auto"/>
              </w:rPr>
              <w:t>☐</w:t>
            </w:r>
          </w:p>
        </w:tc>
        <w:tc>
          <w:tcPr>
            <w:tcW w:w="20" w:type="dxa"/>
            <w:vAlign w:val="bottom"/>
          </w:tcPr>
          <w:p>
            <w:pPr>
              <w:spacing w:after="0"/>
              <w:rPr>
                <w:sz w:val="18"/>
                <w:szCs w:val="18"/>
                <w:color w:val="auto"/>
              </w:rPr>
            </w:pPr>
          </w:p>
        </w:tc>
      </w:tr>
      <w:tr>
        <w:trPr>
          <w:trHeight w:val="206"/>
        </w:trPr>
        <w:tc>
          <w:tcPr>
            <w:tcW w:w="314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4040" w:type="dxa"/>
            <w:vAlign w:val="bottom"/>
          </w:tcPr>
          <w:p>
            <w:pPr>
              <w:ind w:left="80"/>
              <w:spacing w:after="0" w:line="131" w:lineRule="exact"/>
              <w:rPr>
                <w:sz w:val="20"/>
                <w:szCs w:val="20"/>
                <w:color w:val="auto"/>
              </w:rPr>
            </w:pPr>
            <w:r>
              <w:rPr>
                <w:rFonts w:ascii="MS PGothic" w:cs="MS PGothic" w:eastAsia="MS PGothic" w:hAnsi="MS PGothic"/>
                <w:sz w:val="13"/>
                <w:szCs w:val="13"/>
                <w:color w:val="auto"/>
              </w:rPr>
              <w:t>☐</w:t>
            </w:r>
          </w:p>
        </w:tc>
        <w:tc>
          <w:tcPr>
            <w:tcW w:w="3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5"/>
        </w:trPr>
        <w:tc>
          <w:tcPr>
            <w:tcW w:w="11460" w:type="dxa"/>
            <w:vAlign w:val="bottom"/>
            <w:gridSpan w:val="4"/>
          </w:tcPr>
          <w:p>
            <w:pPr>
              <w:ind w:left="520"/>
              <w:spacing w:after="0"/>
              <w:rPr>
                <w:sz w:val="20"/>
                <w:szCs w:val="20"/>
                <w:color w:val="auto"/>
              </w:rPr>
            </w:pPr>
            <w:r>
              <w:rPr>
                <w:rFonts w:ascii="Arial" w:cs="Arial" w:eastAsia="Arial" w:hAnsi="Arial"/>
                <w:sz w:val="13"/>
                <w:szCs w:val="13"/>
                <w:color w:val="auto"/>
                <w:w w:val="93"/>
              </w:rPr>
              <w:t>If an emerging growth company, indicate by check mark if the registrant has elected not to use the extended transition period for complying with any new or revised financial accounting standards provided</w:t>
            </w:r>
          </w:p>
        </w:tc>
        <w:tc>
          <w:tcPr>
            <w:tcW w:w="20" w:type="dxa"/>
            <w:vAlign w:val="bottom"/>
          </w:tcPr>
          <w:p>
            <w:pPr>
              <w:spacing w:after="0"/>
              <w:rPr>
                <w:sz w:val="18"/>
                <w:szCs w:val="18"/>
                <w:color w:val="auto"/>
              </w:rPr>
            </w:pPr>
          </w:p>
        </w:tc>
      </w:tr>
      <w:tr>
        <w:trPr>
          <w:trHeight w:val="230"/>
        </w:trPr>
        <w:tc>
          <w:tcPr>
            <w:tcW w:w="3140" w:type="dxa"/>
            <w:vAlign w:val="bottom"/>
          </w:tcPr>
          <w:p>
            <w:pPr>
              <w:spacing w:after="0" w:line="161" w:lineRule="exact"/>
              <w:rPr>
                <w:sz w:val="20"/>
                <w:szCs w:val="20"/>
                <w:color w:val="auto"/>
              </w:rPr>
            </w:pPr>
            <w:r>
              <w:rPr>
                <w:rFonts w:ascii="Arial" w:cs="Arial" w:eastAsia="Arial" w:hAnsi="Arial"/>
                <w:sz w:val="13"/>
                <w:szCs w:val="13"/>
                <w:color w:val="auto"/>
                <w:w w:val="97"/>
              </w:rPr>
              <w:t xml:space="preserve">pursuant to Section 13(a) of the Exchange Act.  YES </w:t>
            </w:r>
            <w:r>
              <w:rPr>
                <w:rFonts w:ascii="MS PGothic" w:cs="MS PGothic" w:eastAsia="MS PGothic" w:hAnsi="MS PGothic"/>
                <w:sz w:val="14"/>
                <w:szCs w:val="14"/>
                <w:color w:val="auto"/>
                <w:w w:val="97"/>
              </w:rPr>
              <w:t>☐</w:t>
            </w:r>
          </w:p>
        </w:tc>
        <w:tc>
          <w:tcPr>
            <w:tcW w:w="4040" w:type="dxa"/>
            <w:vAlign w:val="bottom"/>
          </w:tcPr>
          <w:p>
            <w:pPr>
              <w:ind w:left="60"/>
              <w:spacing w:after="0" w:line="161"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4"/>
                <w:szCs w:val="14"/>
                <w:color w:val="auto"/>
              </w:rPr>
              <w:t>☐</w:t>
            </w:r>
          </w:p>
        </w:tc>
        <w:tc>
          <w:tcPr>
            <w:tcW w:w="3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7180" w:type="dxa"/>
            <w:vAlign w:val="bottom"/>
            <w:gridSpan w:val="2"/>
          </w:tcPr>
          <w:p>
            <w:pPr>
              <w:ind w:left="520"/>
              <w:spacing w:after="0" w:line="161" w:lineRule="exact"/>
              <w:rPr>
                <w:sz w:val="20"/>
                <w:szCs w:val="20"/>
                <w:color w:val="auto"/>
              </w:rPr>
            </w:pPr>
            <w:r>
              <w:rPr>
                <w:rFonts w:ascii="Arial" w:cs="Arial" w:eastAsia="Arial" w:hAnsi="Arial"/>
                <w:sz w:val="13"/>
                <w:szCs w:val="13"/>
                <w:color w:val="auto"/>
                <w:w w:val="94"/>
              </w:rPr>
              <w:t xml:space="preserve">Indicate by check mark whether the registrant is a shell company (as defined in Rule 12b-2 of the Exchange Act).  YES </w:t>
            </w:r>
            <w:r>
              <w:rPr>
                <w:rFonts w:ascii="MS PGothic" w:cs="MS PGothic" w:eastAsia="MS PGothic" w:hAnsi="MS PGothic"/>
                <w:sz w:val="14"/>
                <w:szCs w:val="14"/>
                <w:color w:val="auto"/>
                <w:w w:val="94"/>
              </w:rPr>
              <w:t>☐</w:t>
            </w:r>
          </w:p>
        </w:tc>
        <w:tc>
          <w:tcPr>
            <w:tcW w:w="3180" w:type="dxa"/>
            <w:vAlign w:val="bottom"/>
          </w:tcPr>
          <w:p>
            <w:pPr>
              <w:ind w:left="60"/>
              <w:spacing w:after="0" w:line="161"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4"/>
                <w:szCs w:val="14"/>
                <w:color w:val="auto"/>
              </w:rPr>
              <w:t>☒</w:t>
            </w: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0"/>
        </w:trPr>
        <w:tc>
          <w:tcPr>
            <w:tcW w:w="7180" w:type="dxa"/>
            <w:vAlign w:val="bottom"/>
            <w:gridSpan w:val="2"/>
          </w:tcPr>
          <w:p>
            <w:pPr>
              <w:ind w:left="520"/>
              <w:spacing w:after="0"/>
              <w:rPr>
                <w:sz w:val="20"/>
                <w:szCs w:val="20"/>
                <w:color w:val="auto"/>
              </w:rPr>
            </w:pPr>
            <w:r>
              <w:rPr>
                <w:rFonts w:ascii="Arial" w:cs="Arial" w:eastAsia="Arial" w:hAnsi="Arial"/>
                <w:sz w:val="13"/>
                <w:szCs w:val="13"/>
                <w:color w:val="auto"/>
              </w:rPr>
              <w:t>There were 38,409,346 shares of the registrant’s Common Stock issued and outstanding as of April 30, 2018.</w:t>
            </w:r>
          </w:p>
        </w:tc>
        <w:tc>
          <w:tcPr>
            <w:tcW w:w="3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16"/>
        </w:trPr>
        <w:tc>
          <w:tcPr>
            <w:tcW w:w="3140" w:type="dxa"/>
            <w:vAlign w:val="bottom"/>
            <w:tcBorders>
              <w:bottom w:val="single" w:sz="8" w:color="auto"/>
            </w:tcBorders>
          </w:tcPr>
          <w:p>
            <w:pPr>
              <w:spacing w:after="0"/>
              <w:rPr>
                <w:sz w:val="10"/>
                <w:szCs w:val="10"/>
                <w:color w:val="auto"/>
              </w:rPr>
            </w:pPr>
          </w:p>
        </w:tc>
        <w:tc>
          <w:tcPr>
            <w:tcW w:w="4040" w:type="dxa"/>
            <w:vAlign w:val="bottom"/>
            <w:tcBorders>
              <w:bottom w:val="single" w:sz="8" w:color="auto"/>
            </w:tcBorders>
          </w:tcPr>
          <w:p>
            <w:pPr>
              <w:spacing w:after="0"/>
              <w:rPr>
                <w:sz w:val="10"/>
                <w:szCs w:val="10"/>
                <w:color w:val="auto"/>
              </w:rPr>
            </w:pPr>
          </w:p>
        </w:tc>
        <w:tc>
          <w:tcPr>
            <w:tcW w:w="31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3140" w:type="dxa"/>
            <w:vAlign w:val="bottom"/>
            <w:tcBorders>
              <w:bottom w:val="single" w:sz="8" w:color="auto"/>
            </w:tcBorders>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10"/>
        </w:trPr>
        <w:tc>
          <w:tcPr>
            <w:tcW w:w="314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-26035</wp:posOffset>
            </wp:positionV>
            <wp:extent cx="32385" cy="39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467" w:right="1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0"/>
        </w:trPr>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720" w:type="dxa"/>
            <w:vAlign w:val="bottom"/>
            <w:gridSpan w:val="8"/>
          </w:tcPr>
          <w:p>
            <w:pPr>
              <w:jc w:val="center"/>
              <w:ind w:right="2900"/>
              <w:spacing w:after="0"/>
              <w:rPr>
                <w:sz w:val="20"/>
                <w:szCs w:val="20"/>
                <w:color w:val="auto"/>
              </w:rPr>
            </w:pPr>
            <w:r>
              <w:rPr>
                <w:rFonts w:ascii="Arial" w:cs="Arial" w:eastAsia="Arial" w:hAnsi="Arial"/>
                <w:sz w:val="15"/>
                <w:szCs w:val="15"/>
                <w:b w:val="1"/>
                <w:bCs w:val="1"/>
                <w:color w:val="auto"/>
                <w:w w:val="94"/>
              </w:rPr>
              <w:t>HUBSPOT, INC.</w:t>
            </w:r>
          </w:p>
        </w:tc>
        <w:tc>
          <w:tcPr>
            <w:tcW w:w="1940" w:type="dxa"/>
            <w:vAlign w:val="bottom"/>
          </w:tcPr>
          <w:p>
            <w:pPr>
              <w:spacing w:after="0"/>
              <w:rPr>
                <w:sz w:val="16"/>
                <w:szCs w:val="16"/>
                <w:color w:val="auto"/>
              </w:rPr>
            </w:pPr>
          </w:p>
        </w:tc>
      </w:tr>
      <w:tr>
        <w:trPr>
          <w:trHeight w:val="351"/>
        </w:trPr>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20" w:type="dxa"/>
            <w:vAlign w:val="bottom"/>
            <w:gridSpan w:val="8"/>
          </w:tcPr>
          <w:p>
            <w:pPr>
              <w:jc w:val="center"/>
              <w:ind w:right="2900"/>
              <w:spacing w:after="0"/>
              <w:rPr>
                <w:sz w:val="20"/>
                <w:szCs w:val="20"/>
                <w:color w:val="auto"/>
              </w:rPr>
            </w:pPr>
            <w:r>
              <w:rPr>
                <w:rFonts w:ascii="Arial" w:cs="Arial" w:eastAsia="Arial" w:hAnsi="Arial"/>
                <w:sz w:val="15"/>
                <w:szCs w:val="15"/>
                <w:b w:val="1"/>
                <w:bCs w:val="1"/>
                <w:color w:val="auto"/>
                <w:w w:val="86"/>
              </w:rPr>
              <w:t>Table of Contents</w:t>
            </w:r>
          </w:p>
        </w:tc>
        <w:tc>
          <w:tcPr>
            <w:tcW w:w="1940" w:type="dxa"/>
            <w:vAlign w:val="bottom"/>
          </w:tcPr>
          <w:p>
            <w:pPr>
              <w:spacing w:after="0"/>
              <w:rPr>
                <w:sz w:val="24"/>
                <w:szCs w:val="24"/>
                <w:color w:val="auto"/>
              </w:rPr>
            </w:pPr>
          </w:p>
        </w:tc>
      </w:tr>
      <w:tr>
        <w:trPr>
          <w:trHeight w:val="318"/>
        </w:trPr>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0" w:type="dxa"/>
            <w:vAlign w:val="bottom"/>
            <w:gridSpan w:val="9"/>
          </w:tcPr>
          <w:p>
            <w:pPr>
              <w:jc w:val="center"/>
              <w:ind w:right="2820"/>
              <w:spacing w:after="0"/>
              <w:rPr>
                <w:rFonts w:ascii="Arial" w:cs="Arial" w:eastAsia="Arial" w:hAnsi="Arial"/>
                <w:sz w:val="15"/>
                <w:szCs w:val="15"/>
                <w:b w:val="1"/>
                <w:bCs w:val="1"/>
                <w:color w:val="0000EE"/>
                <w:w w:val="93"/>
              </w:rPr>
            </w:pPr>
            <w:hyperlink w:anchor="page5">
              <w:r>
                <w:rPr>
                  <w:rFonts w:ascii="Arial" w:cs="Arial" w:eastAsia="Arial" w:hAnsi="Arial"/>
                  <w:sz w:val="15"/>
                  <w:szCs w:val="15"/>
                  <w:b w:val="1"/>
                  <w:bCs w:val="1"/>
                  <w:color w:val="0000EE"/>
                  <w:w w:val="93"/>
                </w:rPr>
                <w:t>Part I — Financial Information</w:t>
              </w:r>
            </w:hyperlink>
          </w:p>
        </w:tc>
        <w:tc>
          <w:tcPr>
            <w:tcW w:w="1940" w:type="dxa"/>
            <w:vAlign w:val="bottom"/>
          </w:tcPr>
          <w:p>
            <w:pPr>
              <w:spacing w:after="0"/>
              <w:rPr>
                <w:sz w:val="24"/>
                <w:szCs w:val="24"/>
                <w:color w:val="auto"/>
              </w:rPr>
            </w:pPr>
          </w:p>
        </w:tc>
      </w:tr>
      <w:tr>
        <w:trPr>
          <w:trHeight w:val="254"/>
        </w:trPr>
        <w:tc>
          <w:tcPr>
            <w:tcW w:w="1020" w:type="dxa"/>
            <w:vAlign w:val="bottom"/>
            <w:gridSpan w:val="2"/>
          </w:tcPr>
          <w:p>
            <w:pPr>
              <w:spacing w:after="0"/>
              <w:rPr>
                <w:sz w:val="20"/>
                <w:szCs w:val="20"/>
                <w:color w:val="auto"/>
              </w:rPr>
            </w:pPr>
            <w:r>
              <w:rPr>
                <w:rFonts w:ascii="Arial" w:cs="Arial" w:eastAsia="Arial" w:hAnsi="Arial"/>
                <w:sz w:val="15"/>
                <w:szCs w:val="15"/>
                <w:color w:val="auto"/>
              </w:rPr>
              <w:t>Item 1.</w:t>
            </w:r>
          </w:p>
        </w:tc>
        <w:tc>
          <w:tcPr>
            <w:tcW w:w="2720" w:type="dxa"/>
            <w:vAlign w:val="bottom"/>
            <w:tcBorders>
              <w:bottom w:val="single" w:sz="8" w:color="0000EE"/>
            </w:tcBorders>
            <w:gridSpan w:val="7"/>
          </w:tcPr>
          <w:p>
            <w:pPr>
              <w:spacing w:after="0"/>
              <w:rPr>
                <w:rFonts w:ascii="Arial" w:cs="Arial" w:eastAsia="Arial" w:hAnsi="Arial"/>
                <w:sz w:val="15"/>
                <w:szCs w:val="15"/>
                <w:color w:val="0000EE"/>
                <w:w w:val="87"/>
              </w:rPr>
            </w:pPr>
            <w:hyperlink w:anchor="page5">
              <w:r>
                <w:rPr>
                  <w:rFonts w:ascii="Arial" w:cs="Arial" w:eastAsia="Arial" w:hAnsi="Arial"/>
                  <w:sz w:val="15"/>
                  <w:szCs w:val="15"/>
                  <w:color w:val="0000EE"/>
                  <w:w w:val="87"/>
                </w:rPr>
                <w:t>Unaudited Consolidated Financial Statements:</w:t>
              </w:r>
            </w:hyperlink>
          </w:p>
        </w:tc>
        <w:tc>
          <w:tcPr>
            <w:tcW w:w="1000" w:type="dxa"/>
            <w:vAlign w:val="bottom"/>
            <w:gridSpan w:val="4"/>
          </w:tcPr>
          <w:p>
            <w:pPr>
              <w:spacing w:after="0"/>
              <w:rPr>
                <w:sz w:val="22"/>
                <w:szCs w:val="22"/>
                <w:color w:val="auto"/>
              </w:rPr>
            </w:pPr>
          </w:p>
        </w:tc>
        <w:tc>
          <w:tcPr>
            <w:tcW w:w="1980" w:type="dxa"/>
            <w:vAlign w:val="bottom"/>
            <w:tcBorders>
              <w:top w:val="single" w:sz="8" w:color="0000EE"/>
            </w:tcBorders>
            <w:gridSpan w:val="5"/>
          </w:tcPr>
          <w:p>
            <w:pPr>
              <w:spacing w:after="0"/>
              <w:rPr>
                <w:sz w:val="22"/>
                <w:szCs w:val="22"/>
                <w:color w:val="auto"/>
              </w:rPr>
            </w:pPr>
          </w:p>
        </w:tc>
        <w:tc>
          <w:tcPr>
            <w:tcW w:w="2820" w:type="dxa"/>
            <w:vAlign w:val="bottom"/>
            <w:gridSpan w:val="4"/>
          </w:tcPr>
          <w:p>
            <w:pPr>
              <w:spacing w:after="0"/>
              <w:rPr>
                <w:sz w:val="22"/>
                <w:szCs w:val="22"/>
                <w:color w:val="auto"/>
              </w:rPr>
            </w:pPr>
          </w:p>
        </w:tc>
        <w:tc>
          <w:tcPr>
            <w:tcW w:w="1940" w:type="dxa"/>
            <w:vAlign w:val="bottom"/>
          </w:tcPr>
          <w:p>
            <w:pPr>
              <w:spacing w:after="0"/>
              <w:rPr>
                <w:sz w:val="22"/>
                <w:szCs w:val="22"/>
                <w:color w:val="auto"/>
              </w:rPr>
            </w:pPr>
          </w:p>
        </w:tc>
      </w:tr>
      <w:tr>
        <w:trPr>
          <w:trHeight w:val="156"/>
        </w:trPr>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60" w:type="dxa"/>
            <w:vAlign w:val="bottom"/>
            <w:tcBorders>
              <w:bottom w:val="single" w:sz="8" w:color="0000EE"/>
            </w:tcBorders>
            <w:gridSpan w:val="13"/>
          </w:tcPr>
          <w:p>
            <w:pPr>
              <w:spacing w:after="0" w:line="156" w:lineRule="exact"/>
              <w:rPr>
                <w:rFonts w:ascii="Arial" w:cs="Arial" w:eastAsia="Arial" w:hAnsi="Arial"/>
                <w:sz w:val="15"/>
                <w:szCs w:val="15"/>
                <w:color w:val="0000EE"/>
                <w:w w:val="86"/>
              </w:rPr>
            </w:pPr>
            <w:hyperlink w:anchor="page5">
              <w:r>
                <w:rPr>
                  <w:rFonts w:ascii="Arial" w:cs="Arial" w:eastAsia="Arial" w:hAnsi="Arial"/>
                  <w:sz w:val="15"/>
                  <w:szCs w:val="15"/>
                  <w:color w:val="0000EE"/>
                  <w:w w:val="86"/>
                </w:rPr>
                <w:t>Unaudited Consolidated Balance Sheets as of March 31, 2018 and December 31, 2017</w:t>
              </w:r>
            </w:hyperlink>
          </w:p>
        </w:tc>
        <w:tc>
          <w:tcPr>
            <w:tcW w:w="3460" w:type="dxa"/>
            <w:vAlign w:val="bottom"/>
            <w:gridSpan w:val="7"/>
          </w:tcPr>
          <w:p>
            <w:pPr>
              <w:spacing w:after="0"/>
              <w:rPr>
                <w:sz w:val="13"/>
                <w:szCs w:val="13"/>
                <w:color w:val="auto"/>
              </w:rPr>
            </w:pPr>
          </w:p>
        </w:tc>
        <w:tc>
          <w:tcPr>
            <w:tcW w:w="1940" w:type="dxa"/>
            <w:vAlign w:val="bottom"/>
          </w:tcPr>
          <w:p>
            <w:pPr>
              <w:jc w:val="right"/>
              <w:spacing w:after="0" w:line="156" w:lineRule="exact"/>
              <w:rPr>
                <w:sz w:val="20"/>
                <w:szCs w:val="20"/>
                <w:color w:val="auto"/>
              </w:rPr>
            </w:pPr>
            <w:r>
              <w:rPr>
                <w:rFonts w:ascii="Arial" w:cs="Arial" w:eastAsia="Arial" w:hAnsi="Arial"/>
                <w:sz w:val="15"/>
                <w:szCs w:val="15"/>
                <w:color w:val="auto"/>
              </w:rPr>
              <w:t>5</w:t>
            </w:r>
          </w:p>
        </w:tc>
      </w:tr>
      <w:tr>
        <w:trPr>
          <w:trHeight w:val="156"/>
        </w:trPr>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520" w:type="dxa"/>
            <w:vAlign w:val="bottom"/>
            <w:gridSpan w:val="20"/>
          </w:tcPr>
          <w:p>
            <w:pPr>
              <w:spacing w:after="0" w:line="156" w:lineRule="exact"/>
              <w:rPr>
                <w:rFonts w:ascii="Arial" w:cs="Arial" w:eastAsia="Arial" w:hAnsi="Arial"/>
                <w:sz w:val="15"/>
                <w:szCs w:val="15"/>
                <w:color w:val="0000EE"/>
              </w:rPr>
            </w:pPr>
            <w:hyperlink w:anchor="page6">
              <w:r>
                <w:rPr>
                  <w:rFonts w:ascii="Arial" w:cs="Arial" w:eastAsia="Arial" w:hAnsi="Arial"/>
                  <w:sz w:val="15"/>
                  <w:szCs w:val="15"/>
                  <w:color w:val="0000EE"/>
                </w:rPr>
                <w:t>Unaudited Consolidated Statements of Operations for the Three Months Ended March 31, 2018 and 2017</w:t>
              </w:r>
            </w:hyperlink>
          </w:p>
        </w:tc>
        <w:tc>
          <w:tcPr>
            <w:tcW w:w="1940" w:type="dxa"/>
            <w:vAlign w:val="bottom"/>
          </w:tcPr>
          <w:p>
            <w:pPr>
              <w:jc w:val="right"/>
              <w:spacing w:after="0" w:line="156" w:lineRule="exact"/>
              <w:rPr>
                <w:sz w:val="20"/>
                <w:szCs w:val="20"/>
                <w:color w:val="auto"/>
              </w:rPr>
            </w:pPr>
            <w:r>
              <w:rPr>
                <w:rFonts w:ascii="Arial" w:cs="Arial" w:eastAsia="Arial" w:hAnsi="Arial"/>
                <w:sz w:val="15"/>
                <w:szCs w:val="15"/>
                <w:color w:val="auto"/>
              </w:rPr>
              <w:t>6</w:t>
            </w:r>
          </w:p>
        </w:tc>
      </w:tr>
      <w:tr>
        <w:trPr>
          <w:trHeight w:val="20"/>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56"/>
        </w:trPr>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520" w:type="dxa"/>
            <w:vAlign w:val="bottom"/>
            <w:gridSpan w:val="20"/>
          </w:tcPr>
          <w:p>
            <w:pPr>
              <w:spacing w:after="0" w:line="156" w:lineRule="exact"/>
              <w:rPr>
                <w:rFonts w:ascii="Arial" w:cs="Arial" w:eastAsia="Arial" w:hAnsi="Arial"/>
                <w:sz w:val="15"/>
                <w:szCs w:val="15"/>
                <w:color w:val="0000EE"/>
              </w:rPr>
            </w:pPr>
            <w:hyperlink w:anchor="page7">
              <w:r>
                <w:rPr>
                  <w:rFonts w:ascii="Arial" w:cs="Arial" w:eastAsia="Arial" w:hAnsi="Arial"/>
                  <w:sz w:val="15"/>
                  <w:szCs w:val="15"/>
                  <w:color w:val="0000EE"/>
                </w:rPr>
                <w:t>Unaudited Consolidated Statements of Comprehensive Loss for the Three Months ended March 31, 2018 and 2017</w:t>
              </w:r>
            </w:hyperlink>
          </w:p>
        </w:tc>
        <w:tc>
          <w:tcPr>
            <w:tcW w:w="1940" w:type="dxa"/>
            <w:vAlign w:val="bottom"/>
          </w:tcPr>
          <w:p>
            <w:pPr>
              <w:jc w:val="right"/>
              <w:spacing w:after="0" w:line="156" w:lineRule="exact"/>
              <w:rPr>
                <w:sz w:val="20"/>
                <w:szCs w:val="20"/>
                <w:color w:val="auto"/>
              </w:rPr>
            </w:pPr>
            <w:r>
              <w:rPr>
                <w:rFonts w:ascii="Arial" w:cs="Arial" w:eastAsia="Arial" w:hAnsi="Arial"/>
                <w:sz w:val="15"/>
                <w:szCs w:val="15"/>
                <w:color w:val="auto"/>
              </w:rPr>
              <w:t>7</w:t>
            </w:r>
          </w:p>
        </w:tc>
      </w:tr>
      <w:tr>
        <w:trPr>
          <w:trHeight w:val="156"/>
        </w:trPr>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720" w:type="dxa"/>
            <w:vAlign w:val="bottom"/>
            <w:tcBorders>
              <w:top w:val="single" w:sz="8" w:color="0000EE"/>
            </w:tcBorders>
            <w:gridSpan w:val="19"/>
          </w:tcPr>
          <w:p>
            <w:pPr>
              <w:spacing w:after="0" w:line="156" w:lineRule="exact"/>
              <w:rPr>
                <w:rFonts w:ascii="Arial" w:cs="Arial" w:eastAsia="Arial" w:hAnsi="Arial"/>
                <w:sz w:val="15"/>
                <w:szCs w:val="15"/>
                <w:color w:val="0000EE"/>
                <w:w w:val="94"/>
              </w:rPr>
            </w:pPr>
            <w:hyperlink w:anchor="page8">
              <w:r>
                <w:rPr>
                  <w:rFonts w:ascii="Arial" w:cs="Arial" w:eastAsia="Arial" w:hAnsi="Arial"/>
                  <w:sz w:val="15"/>
                  <w:szCs w:val="15"/>
                  <w:color w:val="0000EE"/>
                  <w:w w:val="94"/>
                </w:rPr>
                <w:t>Unaudited Consolidated Statements of Cash Flows for the Three Months Ended March 31, 2018 and 2017</w:t>
              </w:r>
            </w:hyperlink>
          </w:p>
        </w:tc>
        <w:tc>
          <w:tcPr>
            <w:tcW w:w="1800" w:type="dxa"/>
            <w:vAlign w:val="bottom"/>
          </w:tcPr>
          <w:p>
            <w:pPr>
              <w:spacing w:after="0"/>
              <w:rPr>
                <w:sz w:val="13"/>
                <w:szCs w:val="13"/>
                <w:color w:val="auto"/>
              </w:rPr>
            </w:pPr>
          </w:p>
        </w:tc>
        <w:tc>
          <w:tcPr>
            <w:tcW w:w="1940" w:type="dxa"/>
            <w:vAlign w:val="bottom"/>
          </w:tcPr>
          <w:p>
            <w:pPr>
              <w:jc w:val="right"/>
              <w:spacing w:after="0" w:line="156" w:lineRule="exact"/>
              <w:rPr>
                <w:sz w:val="20"/>
                <w:szCs w:val="20"/>
                <w:color w:val="auto"/>
              </w:rPr>
            </w:pPr>
            <w:r>
              <w:rPr>
                <w:rFonts w:ascii="Arial" w:cs="Arial" w:eastAsia="Arial" w:hAnsi="Arial"/>
                <w:sz w:val="15"/>
                <w:szCs w:val="15"/>
                <w:color w:val="auto"/>
              </w:rPr>
              <w:t>8</w:t>
            </w:r>
          </w:p>
        </w:tc>
      </w:tr>
      <w:tr>
        <w:trPr>
          <w:trHeight w:val="156"/>
        </w:trPr>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0" w:type="dxa"/>
            <w:vAlign w:val="bottom"/>
            <w:tcBorders>
              <w:top w:val="single" w:sz="8" w:color="0000EE"/>
            </w:tcBorders>
            <w:gridSpan w:val="18"/>
          </w:tcPr>
          <w:p>
            <w:pPr>
              <w:spacing w:after="0" w:line="156" w:lineRule="exact"/>
              <w:rPr>
                <w:rFonts w:ascii="Arial" w:cs="Arial" w:eastAsia="Arial" w:hAnsi="Arial"/>
                <w:sz w:val="15"/>
                <w:szCs w:val="15"/>
                <w:color w:val="0000EE"/>
              </w:rPr>
            </w:pPr>
            <w:hyperlink w:anchor="page9">
              <w:r>
                <w:rPr>
                  <w:rFonts w:ascii="Arial" w:cs="Arial" w:eastAsia="Arial" w:hAnsi="Arial"/>
                  <w:sz w:val="15"/>
                  <w:szCs w:val="15"/>
                  <w:color w:val="0000EE"/>
                </w:rPr>
                <w:t>Notes to Unaudited Consolidated Financial Statements</w:t>
              </w:r>
            </w:hyperlink>
          </w:p>
        </w:tc>
        <w:tc>
          <w:tcPr>
            <w:tcW w:w="2320" w:type="dxa"/>
            <w:vAlign w:val="bottom"/>
            <w:gridSpan w:val="2"/>
          </w:tcPr>
          <w:p>
            <w:pPr>
              <w:spacing w:after="0"/>
              <w:rPr>
                <w:sz w:val="13"/>
                <w:szCs w:val="13"/>
                <w:color w:val="auto"/>
              </w:rPr>
            </w:pPr>
          </w:p>
        </w:tc>
        <w:tc>
          <w:tcPr>
            <w:tcW w:w="1940" w:type="dxa"/>
            <w:vAlign w:val="bottom"/>
          </w:tcPr>
          <w:p>
            <w:pPr>
              <w:jc w:val="right"/>
              <w:spacing w:after="0" w:line="156" w:lineRule="exact"/>
              <w:rPr>
                <w:sz w:val="20"/>
                <w:szCs w:val="20"/>
                <w:color w:val="auto"/>
              </w:rPr>
            </w:pPr>
            <w:r>
              <w:rPr>
                <w:rFonts w:ascii="Arial" w:cs="Arial" w:eastAsia="Arial" w:hAnsi="Arial"/>
                <w:sz w:val="15"/>
                <w:szCs w:val="15"/>
                <w:color w:val="auto"/>
              </w:rPr>
              <w:t>9</w:t>
            </w:r>
          </w:p>
        </w:tc>
      </w:tr>
      <w:tr>
        <w:trPr>
          <w:trHeight w:val="20"/>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56"/>
        </w:trPr>
        <w:tc>
          <w:tcPr>
            <w:tcW w:w="1020" w:type="dxa"/>
            <w:vAlign w:val="bottom"/>
            <w:gridSpan w:val="2"/>
          </w:tcPr>
          <w:p>
            <w:pPr>
              <w:spacing w:after="0" w:line="156" w:lineRule="exact"/>
              <w:rPr>
                <w:sz w:val="20"/>
                <w:szCs w:val="20"/>
                <w:color w:val="auto"/>
              </w:rPr>
            </w:pPr>
            <w:r>
              <w:rPr>
                <w:rFonts w:ascii="Arial" w:cs="Arial" w:eastAsia="Arial" w:hAnsi="Arial"/>
                <w:sz w:val="15"/>
                <w:szCs w:val="15"/>
                <w:color w:val="auto"/>
              </w:rPr>
              <w:t>Item 2.</w:t>
            </w:r>
          </w:p>
        </w:tc>
        <w:tc>
          <w:tcPr>
            <w:tcW w:w="8520" w:type="dxa"/>
            <w:vAlign w:val="bottom"/>
            <w:gridSpan w:val="20"/>
          </w:tcPr>
          <w:p>
            <w:pPr>
              <w:spacing w:after="0" w:line="156" w:lineRule="exact"/>
              <w:rPr>
                <w:rFonts w:ascii="Arial" w:cs="Arial" w:eastAsia="Arial" w:hAnsi="Arial"/>
                <w:sz w:val="15"/>
                <w:szCs w:val="15"/>
                <w:color w:val="0000EE"/>
              </w:rPr>
            </w:pPr>
            <w:hyperlink w:anchor="page21">
              <w:r>
                <w:rPr>
                  <w:rFonts w:ascii="Arial" w:cs="Arial" w:eastAsia="Arial" w:hAnsi="Arial"/>
                  <w:sz w:val="15"/>
                  <w:szCs w:val="15"/>
                  <w:color w:val="0000EE"/>
                </w:rPr>
                <w:t>Management’s Discussion and Analysis of Financial Condition and Results of Operations</w:t>
              </w:r>
            </w:hyperlink>
          </w:p>
        </w:tc>
        <w:tc>
          <w:tcPr>
            <w:tcW w:w="1940" w:type="dxa"/>
            <w:vAlign w:val="bottom"/>
          </w:tcPr>
          <w:p>
            <w:pPr>
              <w:jc w:val="right"/>
              <w:spacing w:after="0" w:line="156" w:lineRule="exact"/>
              <w:rPr>
                <w:sz w:val="20"/>
                <w:szCs w:val="20"/>
                <w:color w:val="auto"/>
              </w:rPr>
            </w:pPr>
            <w:r>
              <w:rPr>
                <w:rFonts w:ascii="Arial" w:cs="Arial" w:eastAsia="Arial" w:hAnsi="Arial"/>
                <w:sz w:val="15"/>
                <w:szCs w:val="15"/>
                <w:color w:val="auto"/>
              </w:rPr>
              <w:t>21</w:t>
            </w:r>
          </w:p>
        </w:tc>
      </w:tr>
      <w:tr>
        <w:trPr>
          <w:trHeight w:val="156"/>
        </w:trPr>
        <w:tc>
          <w:tcPr>
            <w:tcW w:w="1020" w:type="dxa"/>
            <w:vAlign w:val="bottom"/>
            <w:gridSpan w:val="2"/>
          </w:tcPr>
          <w:p>
            <w:pPr>
              <w:spacing w:after="0" w:line="156" w:lineRule="exact"/>
              <w:rPr>
                <w:sz w:val="20"/>
                <w:szCs w:val="20"/>
                <w:color w:val="auto"/>
              </w:rPr>
            </w:pPr>
            <w:r>
              <w:rPr>
                <w:rFonts w:ascii="Arial" w:cs="Arial" w:eastAsia="Arial" w:hAnsi="Arial"/>
                <w:sz w:val="15"/>
                <w:szCs w:val="15"/>
                <w:color w:val="auto"/>
              </w:rPr>
              <w:t>Item 3.</w:t>
            </w:r>
          </w:p>
        </w:tc>
        <w:tc>
          <w:tcPr>
            <w:tcW w:w="3500" w:type="dxa"/>
            <w:vAlign w:val="bottom"/>
            <w:tcBorders>
              <w:top w:val="single" w:sz="8" w:color="0000EE"/>
              <w:bottom w:val="single" w:sz="8" w:color="0000EE"/>
            </w:tcBorders>
            <w:gridSpan w:val="9"/>
          </w:tcPr>
          <w:p>
            <w:pPr>
              <w:spacing w:after="0" w:line="156" w:lineRule="exact"/>
              <w:rPr>
                <w:rFonts w:ascii="Arial" w:cs="Arial" w:eastAsia="Arial" w:hAnsi="Arial"/>
                <w:sz w:val="15"/>
                <w:szCs w:val="15"/>
                <w:color w:val="0000EE"/>
                <w:w w:val="88"/>
              </w:rPr>
            </w:pPr>
            <w:hyperlink w:anchor="page29">
              <w:r>
                <w:rPr>
                  <w:rFonts w:ascii="Arial" w:cs="Arial" w:eastAsia="Arial" w:hAnsi="Arial"/>
                  <w:sz w:val="15"/>
                  <w:szCs w:val="15"/>
                  <w:color w:val="0000EE"/>
                  <w:w w:val="88"/>
                </w:rPr>
                <w:t>Quantitative and Qualitative Disclosures about Market Risk</w:t>
              </w:r>
            </w:hyperlink>
          </w:p>
        </w:tc>
        <w:tc>
          <w:tcPr>
            <w:tcW w:w="1740" w:type="dxa"/>
            <w:vAlign w:val="bottom"/>
            <w:tcBorders>
              <w:top w:val="single" w:sz="8" w:color="0000EE"/>
            </w:tcBorders>
            <w:gridSpan w:val="5"/>
          </w:tcPr>
          <w:p>
            <w:pPr>
              <w:spacing w:after="0"/>
              <w:rPr>
                <w:sz w:val="13"/>
                <w:szCs w:val="13"/>
                <w:color w:val="auto"/>
              </w:rPr>
            </w:pPr>
          </w:p>
        </w:tc>
        <w:tc>
          <w:tcPr>
            <w:tcW w:w="3280" w:type="dxa"/>
            <w:vAlign w:val="bottom"/>
            <w:gridSpan w:val="6"/>
          </w:tcPr>
          <w:p>
            <w:pPr>
              <w:spacing w:after="0"/>
              <w:rPr>
                <w:sz w:val="13"/>
                <w:szCs w:val="13"/>
                <w:color w:val="auto"/>
              </w:rPr>
            </w:pPr>
          </w:p>
        </w:tc>
        <w:tc>
          <w:tcPr>
            <w:tcW w:w="1940" w:type="dxa"/>
            <w:vAlign w:val="bottom"/>
          </w:tcPr>
          <w:p>
            <w:pPr>
              <w:jc w:val="right"/>
              <w:spacing w:after="0" w:line="156" w:lineRule="exact"/>
              <w:rPr>
                <w:sz w:val="20"/>
                <w:szCs w:val="20"/>
                <w:color w:val="auto"/>
              </w:rPr>
            </w:pPr>
            <w:r>
              <w:rPr>
                <w:rFonts w:ascii="Arial" w:cs="Arial" w:eastAsia="Arial" w:hAnsi="Arial"/>
                <w:sz w:val="15"/>
                <w:szCs w:val="15"/>
                <w:color w:val="auto"/>
              </w:rPr>
              <w:t>29</w:t>
            </w:r>
          </w:p>
        </w:tc>
      </w:tr>
      <w:tr>
        <w:trPr>
          <w:trHeight w:val="156"/>
        </w:trPr>
        <w:tc>
          <w:tcPr>
            <w:tcW w:w="1020" w:type="dxa"/>
            <w:vAlign w:val="bottom"/>
            <w:gridSpan w:val="2"/>
          </w:tcPr>
          <w:p>
            <w:pPr>
              <w:spacing w:after="0" w:line="156" w:lineRule="exact"/>
              <w:rPr>
                <w:sz w:val="20"/>
                <w:szCs w:val="20"/>
                <w:color w:val="auto"/>
              </w:rPr>
            </w:pPr>
            <w:r>
              <w:rPr>
                <w:rFonts w:ascii="Arial" w:cs="Arial" w:eastAsia="Arial" w:hAnsi="Arial"/>
                <w:sz w:val="15"/>
                <w:szCs w:val="15"/>
                <w:color w:val="auto"/>
              </w:rPr>
              <w:t>Item 4.</w:t>
            </w:r>
          </w:p>
        </w:tc>
        <w:tc>
          <w:tcPr>
            <w:tcW w:w="8520" w:type="dxa"/>
            <w:vAlign w:val="bottom"/>
            <w:gridSpan w:val="20"/>
          </w:tcPr>
          <w:p>
            <w:pPr>
              <w:spacing w:after="0" w:line="156" w:lineRule="exact"/>
              <w:rPr>
                <w:rFonts w:ascii="Arial" w:cs="Arial" w:eastAsia="Arial" w:hAnsi="Arial"/>
                <w:sz w:val="15"/>
                <w:szCs w:val="15"/>
                <w:color w:val="0000EE"/>
              </w:rPr>
            </w:pPr>
            <w:hyperlink w:anchor="page30">
              <w:r>
                <w:rPr>
                  <w:rFonts w:ascii="Arial" w:cs="Arial" w:eastAsia="Arial" w:hAnsi="Arial"/>
                  <w:sz w:val="15"/>
                  <w:szCs w:val="15"/>
                  <w:color w:val="0000EE"/>
                </w:rPr>
                <w:t>Controls and Procedures</w:t>
              </w:r>
            </w:hyperlink>
          </w:p>
        </w:tc>
        <w:tc>
          <w:tcPr>
            <w:tcW w:w="1940" w:type="dxa"/>
            <w:vAlign w:val="bottom"/>
          </w:tcPr>
          <w:p>
            <w:pPr>
              <w:jc w:val="right"/>
              <w:spacing w:after="0" w:line="156" w:lineRule="exact"/>
              <w:rPr>
                <w:sz w:val="20"/>
                <w:szCs w:val="20"/>
                <w:color w:val="auto"/>
              </w:rPr>
            </w:pPr>
            <w:r>
              <w:rPr>
                <w:rFonts w:ascii="Arial" w:cs="Arial" w:eastAsia="Arial" w:hAnsi="Arial"/>
                <w:sz w:val="15"/>
                <w:szCs w:val="15"/>
                <w:color w:val="auto"/>
              </w:rPr>
              <w:t>30</w:t>
            </w:r>
          </w:p>
        </w:tc>
      </w:tr>
      <w:tr>
        <w:trPr>
          <w:trHeight w:val="254"/>
        </w:trPr>
        <w:tc>
          <w:tcPr>
            <w:tcW w:w="6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3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720" w:type="dxa"/>
            <w:vAlign w:val="bottom"/>
            <w:gridSpan w:val="8"/>
          </w:tcPr>
          <w:p>
            <w:pPr>
              <w:jc w:val="center"/>
              <w:ind w:right="2900"/>
              <w:spacing w:after="0"/>
              <w:rPr>
                <w:rFonts w:ascii="Arial" w:cs="Arial" w:eastAsia="Arial" w:hAnsi="Arial"/>
                <w:sz w:val="15"/>
                <w:szCs w:val="15"/>
                <w:b w:val="1"/>
                <w:bCs w:val="1"/>
                <w:color w:val="0000EE"/>
                <w:w w:val="94"/>
              </w:rPr>
            </w:pPr>
            <w:hyperlink w:anchor="page31">
              <w:r>
                <w:rPr>
                  <w:rFonts w:ascii="Arial" w:cs="Arial" w:eastAsia="Arial" w:hAnsi="Arial"/>
                  <w:sz w:val="15"/>
                  <w:szCs w:val="15"/>
                  <w:b w:val="1"/>
                  <w:bCs w:val="1"/>
                  <w:color w:val="0000EE"/>
                  <w:w w:val="94"/>
                </w:rPr>
                <w:t>Part II — Other Information</w:t>
              </w:r>
            </w:hyperlink>
          </w:p>
        </w:tc>
        <w:tc>
          <w:tcPr>
            <w:tcW w:w="1940" w:type="dxa"/>
            <w:vAlign w:val="bottom"/>
          </w:tcPr>
          <w:p>
            <w:pPr>
              <w:spacing w:after="0"/>
              <w:rPr>
                <w:sz w:val="22"/>
                <w:szCs w:val="22"/>
                <w:color w:val="auto"/>
              </w:rPr>
            </w:pPr>
          </w:p>
        </w:tc>
      </w:tr>
      <w:tr>
        <w:trPr>
          <w:trHeight w:val="254"/>
        </w:trPr>
        <w:tc>
          <w:tcPr>
            <w:tcW w:w="1020" w:type="dxa"/>
            <w:vAlign w:val="bottom"/>
            <w:gridSpan w:val="2"/>
          </w:tcPr>
          <w:p>
            <w:pPr>
              <w:spacing w:after="0"/>
              <w:rPr>
                <w:sz w:val="20"/>
                <w:szCs w:val="20"/>
                <w:color w:val="auto"/>
              </w:rPr>
            </w:pPr>
            <w:r>
              <w:rPr>
                <w:rFonts w:ascii="Arial" w:cs="Arial" w:eastAsia="Arial" w:hAnsi="Arial"/>
                <w:sz w:val="15"/>
                <w:szCs w:val="15"/>
                <w:color w:val="auto"/>
              </w:rPr>
              <w:t>Item 1.</w:t>
            </w:r>
          </w:p>
        </w:tc>
        <w:tc>
          <w:tcPr>
            <w:tcW w:w="3800" w:type="dxa"/>
            <w:vAlign w:val="bottom"/>
            <w:gridSpan w:val="12"/>
          </w:tcPr>
          <w:p>
            <w:pPr>
              <w:spacing w:after="0"/>
              <w:rPr>
                <w:rFonts w:ascii="Arial" w:cs="Arial" w:eastAsia="Arial" w:hAnsi="Arial"/>
                <w:sz w:val="15"/>
                <w:szCs w:val="15"/>
                <w:color w:val="0000EE"/>
              </w:rPr>
            </w:pPr>
            <w:hyperlink w:anchor="page31">
              <w:r>
                <w:rPr>
                  <w:rFonts w:ascii="Arial" w:cs="Arial" w:eastAsia="Arial" w:hAnsi="Arial"/>
                  <w:sz w:val="15"/>
                  <w:szCs w:val="15"/>
                  <w:color w:val="0000EE"/>
                </w:rPr>
                <w:t>Legal Proceedings</w:t>
              </w:r>
            </w:hyperlink>
          </w:p>
        </w:tc>
        <w:tc>
          <w:tcPr>
            <w:tcW w:w="1820" w:type="dxa"/>
            <w:vAlign w:val="bottom"/>
            <w:tcBorders>
              <w:top w:val="single" w:sz="8" w:color="0000EE"/>
            </w:tcBorders>
            <w:gridSpan w:val="3"/>
          </w:tcPr>
          <w:p>
            <w:pPr>
              <w:spacing w:after="0"/>
              <w:rPr>
                <w:sz w:val="22"/>
                <w:szCs w:val="22"/>
                <w:color w:val="auto"/>
              </w:rPr>
            </w:pPr>
          </w:p>
        </w:tc>
        <w:tc>
          <w:tcPr>
            <w:tcW w:w="2900" w:type="dxa"/>
            <w:vAlign w:val="bottom"/>
            <w:gridSpan w:val="5"/>
          </w:tcPr>
          <w:p>
            <w:pPr>
              <w:spacing w:after="0"/>
              <w:rPr>
                <w:sz w:val="22"/>
                <w:szCs w:val="22"/>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31</w:t>
            </w:r>
          </w:p>
        </w:tc>
      </w:tr>
      <w:tr>
        <w:trPr>
          <w:trHeight w:val="156"/>
        </w:trPr>
        <w:tc>
          <w:tcPr>
            <w:tcW w:w="1020" w:type="dxa"/>
            <w:vAlign w:val="bottom"/>
            <w:gridSpan w:val="2"/>
          </w:tcPr>
          <w:p>
            <w:pPr>
              <w:spacing w:after="0" w:line="156" w:lineRule="exact"/>
              <w:rPr>
                <w:sz w:val="20"/>
                <w:szCs w:val="20"/>
                <w:color w:val="auto"/>
              </w:rPr>
            </w:pPr>
            <w:r>
              <w:rPr>
                <w:rFonts w:ascii="Arial" w:cs="Arial" w:eastAsia="Arial" w:hAnsi="Arial"/>
                <w:sz w:val="15"/>
                <w:szCs w:val="15"/>
                <w:color w:val="auto"/>
              </w:rPr>
              <w:t>Item 1A.</w:t>
            </w:r>
          </w:p>
        </w:tc>
        <w:tc>
          <w:tcPr>
            <w:tcW w:w="740" w:type="dxa"/>
            <w:vAlign w:val="bottom"/>
            <w:tcBorders>
              <w:top w:val="single" w:sz="8" w:color="0000EE"/>
              <w:bottom w:val="single" w:sz="8" w:color="0000EE"/>
            </w:tcBorders>
            <w:gridSpan w:val="2"/>
          </w:tcPr>
          <w:p>
            <w:pPr>
              <w:spacing w:after="0" w:line="156" w:lineRule="exact"/>
              <w:rPr>
                <w:rFonts w:ascii="Arial" w:cs="Arial" w:eastAsia="Arial" w:hAnsi="Arial"/>
                <w:sz w:val="15"/>
                <w:szCs w:val="15"/>
                <w:color w:val="0000EE"/>
                <w:w w:val="86"/>
              </w:rPr>
            </w:pPr>
            <w:hyperlink w:anchor="page31">
              <w:r>
                <w:rPr>
                  <w:rFonts w:ascii="Arial" w:cs="Arial" w:eastAsia="Arial" w:hAnsi="Arial"/>
                  <w:sz w:val="15"/>
                  <w:szCs w:val="15"/>
                  <w:color w:val="0000EE"/>
                  <w:w w:val="86"/>
                </w:rPr>
                <w:t>Risk Factors</w:t>
              </w:r>
            </w:hyperlink>
          </w:p>
        </w:tc>
        <w:tc>
          <w:tcPr>
            <w:tcW w:w="340" w:type="dxa"/>
            <w:vAlign w:val="bottom"/>
            <w:tcBorders>
              <w:top w:val="single" w:sz="8" w:color="0000EE"/>
            </w:tcBorders>
            <w:gridSpan w:val="2"/>
          </w:tcPr>
          <w:p>
            <w:pPr>
              <w:spacing w:after="0"/>
              <w:rPr>
                <w:sz w:val="13"/>
                <w:szCs w:val="13"/>
                <w:color w:val="auto"/>
              </w:rPr>
            </w:pPr>
          </w:p>
        </w:tc>
        <w:tc>
          <w:tcPr>
            <w:tcW w:w="7440" w:type="dxa"/>
            <w:vAlign w:val="bottom"/>
            <w:gridSpan w:val="16"/>
          </w:tcPr>
          <w:p>
            <w:pPr>
              <w:spacing w:after="0"/>
              <w:rPr>
                <w:sz w:val="13"/>
                <w:szCs w:val="13"/>
                <w:color w:val="auto"/>
              </w:rPr>
            </w:pPr>
          </w:p>
        </w:tc>
        <w:tc>
          <w:tcPr>
            <w:tcW w:w="1940" w:type="dxa"/>
            <w:vAlign w:val="bottom"/>
          </w:tcPr>
          <w:p>
            <w:pPr>
              <w:jc w:val="right"/>
              <w:spacing w:after="0" w:line="156" w:lineRule="exact"/>
              <w:rPr>
                <w:sz w:val="20"/>
                <w:szCs w:val="20"/>
                <w:color w:val="auto"/>
              </w:rPr>
            </w:pPr>
            <w:r>
              <w:rPr>
                <w:rFonts w:ascii="Arial" w:cs="Arial" w:eastAsia="Arial" w:hAnsi="Arial"/>
                <w:sz w:val="15"/>
                <w:szCs w:val="15"/>
                <w:color w:val="auto"/>
              </w:rPr>
              <w:t>31</w:t>
            </w:r>
          </w:p>
        </w:tc>
      </w:tr>
      <w:tr>
        <w:trPr>
          <w:trHeight w:val="156"/>
        </w:trPr>
        <w:tc>
          <w:tcPr>
            <w:tcW w:w="1020" w:type="dxa"/>
            <w:vAlign w:val="bottom"/>
            <w:gridSpan w:val="2"/>
          </w:tcPr>
          <w:p>
            <w:pPr>
              <w:spacing w:after="0" w:line="156" w:lineRule="exact"/>
              <w:rPr>
                <w:sz w:val="20"/>
                <w:szCs w:val="20"/>
                <w:color w:val="auto"/>
              </w:rPr>
            </w:pPr>
            <w:r>
              <w:rPr>
                <w:rFonts w:ascii="Arial" w:cs="Arial" w:eastAsia="Arial" w:hAnsi="Arial"/>
                <w:sz w:val="15"/>
                <w:szCs w:val="15"/>
                <w:color w:val="auto"/>
              </w:rPr>
              <w:t>Item 2.</w:t>
            </w:r>
          </w:p>
        </w:tc>
        <w:tc>
          <w:tcPr>
            <w:tcW w:w="8520" w:type="dxa"/>
            <w:vAlign w:val="bottom"/>
            <w:gridSpan w:val="20"/>
          </w:tcPr>
          <w:p>
            <w:pPr>
              <w:spacing w:after="0" w:line="156" w:lineRule="exact"/>
              <w:rPr>
                <w:rFonts w:ascii="Arial" w:cs="Arial" w:eastAsia="Arial" w:hAnsi="Arial"/>
                <w:sz w:val="15"/>
                <w:szCs w:val="15"/>
                <w:color w:val="0000EE"/>
              </w:rPr>
            </w:pPr>
            <w:hyperlink w:anchor="page50">
              <w:r>
                <w:rPr>
                  <w:rFonts w:ascii="Arial" w:cs="Arial" w:eastAsia="Arial" w:hAnsi="Arial"/>
                  <w:sz w:val="15"/>
                  <w:szCs w:val="15"/>
                  <w:color w:val="0000EE"/>
                </w:rPr>
                <w:t>Unregistered Sales of Equity Securities and Use of Proceeds</w:t>
              </w:r>
            </w:hyperlink>
          </w:p>
        </w:tc>
        <w:tc>
          <w:tcPr>
            <w:tcW w:w="1940" w:type="dxa"/>
            <w:vAlign w:val="bottom"/>
          </w:tcPr>
          <w:p>
            <w:pPr>
              <w:jc w:val="right"/>
              <w:spacing w:after="0" w:line="156" w:lineRule="exact"/>
              <w:rPr>
                <w:sz w:val="20"/>
                <w:szCs w:val="20"/>
                <w:color w:val="auto"/>
              </w:rPr>
            </w:pPr>
            <w:r>
              <w:rPr>
                <w:rFonts w:ascii="Arial" w:cs="Arial" w:eastAsia="Arial" w:hAnsi="Arial"/>
                <w:sz w:val="15"/>
                <w:szCs w:val="15"/>
                <w:color w:val="auto"/>
              </w:rPr>
              <w:t>50</w:t>
            </w:r>
          </w:p>
        </w:tc>
      </w:tr>
      <w:tr>
        <w:trPr>
          <w:trHeight w:val="156"/>
        </w:trPr>
        <w:tc>
          <w:tcPr>
            <w:tcW w:w="1020" w:type="dxa"/>
            <w:vAlign w:val="bottom"/>
            <w:gridSpan w:val="2"/>
          </w:tcPr>
          <w:p>
            <w:pPr>
              <w:spacing w:after="0" w:line="156" w:lineRule="exact"/>
              <w:rPr>
                <w:sz w:val="20"/>
                <w:szCs w:val="20"/>
                <w:color w:val="auto"/>
              </w:rPr>
            </w:pPr>
            <w:r>
              <w:rPr>
                <w:rFonts w:ascii="Arial" w:cs="Arial" w:eastAsia="Arial" w:hAnsi="Arial"/>
                <w:sz w:val="15"/>
                <w:szCs w:val="15"/>
                <w:color w:val="auto"/>
              </w:rPr>
              <w:t>Item 3.</w:t>
            </w:r>
          </w:p>
        </w:tc>
        <w:tc>
          <w:tcPr>
            <w:tcW w:w="3520" w:type="dxa"/>
            <w:vAlign w:val="bottom"/>
            <w:tcBorders>
              <w:top w:val="single" w:sz="8" w:color="0000EE"/>
            </w:tcBorders>
            <w:gridSpan w:val="10"/>
          </w:tcPr>
          <w:p>
            <w:pPr>
              <w:spacing w:after="0" w:line="156" w:lineRule="exact"/>
              <w:rPr>
                <w:rFonts w:ascii="Arial" w:cs="Arial" w:eastAsia="Arial" w:hAnsi="Arial"/>
                <w:sz w:val="15"/>
                <w:szCs w:val="15"/>
                <w:color w:val="0000EE"/>
              </w:rPr>
            </w:pPr>
            <w:hyperlink w:anchor="page50">
              <w:r>
                <w:rPr>
                  <w:rFonts w:ascii="Arial" w:cs="Arial" w:eastAsia="Arial" w:hAnsi="Arial"/>
                  <w:sz w:val="15"/>
                  <w:szCs w:val="15"/>
                  <w:color w:val="0000EE"/>
                </w:rPr>
                <w:t>Default Upon Senior Securities</w:t>
              </w:r>
            </w:hyperlink>
          </w:p>
        </w:tc>
        <w:tc>
          <w:tcPr>
            <w:tcW w:w="5000" w:type="dxa"/>
            <w:vAlign w:val="bottom"/>
            <w:gridSpan w:val="10"/>
          </w:tcPr>
          <w:p>
            <w:pPr>
              <w:spacing w:after="0"/>
              <w:rPr>
                <w:sz w:val="13"/>
                <w:szCs w:val="13"/>
                <w:color w:val="auto"/>
              </w:rPr>
            </w:pPr>
          </w:p>
        </w:tc>
        <w:tc>
          <w:tcPr>
            <w:tcW w:w="1940" w:type="dxa"/>
            <w:vAlign w:val="bottom"/>
          </w:tcPr>
          <w:p>
            <w:pPr>
              <w:jc w:val="right"/>
              <w:spacing w:after="0" w:line="156" w:lineRule="exact"/>
              <w:rPr>
                <w:sz w:val="20"/>
                <w:szCs w:val="20"/>
                <w:color w:val="auto"/>
              </w:rPr>
            </w:pPr>
            <w:r>
              <w:rPr>
                <w:rFonts w:ascii="Arial" w:cs="Arial" w:eastAsia="Arial" w:hAnsi="Arial"/>
                <w:sz w:val="15"/>
                <w:szCs w:val="15"/>
                <w:color w:val="auto"/>
              </w:rPr>
              <w:t>50</w:t>
            </w:r>
          </w:p>
        </w:tc>
      </w:tr>
      <w:tr>
        <w:trPr>
          <w:trHeight w:val="156"/>
        </w:trPr>
        <w:tc>
          <w:tcPr>
            <w:tcW w:w="1020" w:type="dxa"/>
            <w:vAlign w:val="bottom"/>
            <w:gridSpan w:val="2"/>
          </w:tcPr>
          <w:p>
            <w:pPr>
              <w:spacing w:after="0" w:line="156" w:lineRule="exact"/>
              <w:rPr>
                <w:sz w:val="20"/>
                <w:szCs w:val="20"/>
                <w:color w:val="auto"/>
              </w:rPr>
            </w:pPr>
            <w:r>
              <w:rPr>
                <w:rFonts w:ascii="Arial" w:cs="Arial" w:eastAsia="Arial" w:hAnsi="Arial"/>
                <w:sz w:val="15"/>
                <w:szCs w:val="15"/>
                <w:color w:val="auto"/>
              </w:rPr>
              <w:t>Item 4.</w:t>
            </w:r>
          </w:p>
        </w:tc>
        <w:tc>
          <w:tcPr>
            <w:tcW w:w="1440" w:type="dxa"/>
            <w:vAlign w:val="bottom"/>
            <w:tcBorders>
              <w:top w:val="single" w:sz="8" w:color="0000EE"/>
              <w:bottom w:val="single" w:sz="8" w:color="0000EE"/>
            </w:tcBorders>
            <w:gridSpan w:val="5"/>
          </w:tcPr>
          <w:p>
            <w:pPr>
              <w:spacing w:after="0" w:line="156" w:lineRule="exact"/>
              <w:rPr>
                <w:rFonts w:ascii="Arial" w:cs="Arial" w:eastAsia="Arial" w:hAnsi="Arial"/>
                <w:sz w:val="15"/>
                <w:szCs w:val="15"/>
                <w:color w:val="0000EE"/>
                <w:w w:val="88"/>
              </w:rPr>
            </w:pPr>
            <w:hyperlink w:anchor="page50">
              <w:r>
                <w:rPr>
                  <w:rFonts w:ascii="Arial" w:cs="Arial" w:eastAsia="Arial" w:hAnsi="Arial"/>
                  <w:sz w:val="15"/>
                  <w:szCs w:val="15"/>
                  <w:color w:val="0000EE"/>
                  <w:w w:val="88"/>
                </w:rPr>
                <w:t>Mine Safety Disclosures</w:t>
              </w:r>
            </w:hyperlink>
          </w:p>
        </w:tc>
        <w:tc>
          <w:tcPr>
            <w:tcW w:w="380" w:type="dxa"/>
            <w:vAlign w:val="bottom"/>
            <w:tcBorders>
              <w:top w:val="single" w:sz="8" w:color="0000EE"/>
            </w:tcBorders>
          </w:tcPr>
          <w:p>
            <w:pPr>
              <w:spacing w:after="0"/>
              <w:rPr>
                <w:sz w:val="13"/>
                <w:szCs w:val="13"/>
                <w:color w:val="auto"/>
              </w:rPr>
            </w:pPr>
          </w:p>
        </w:tc>
        <w:tc>
          <w:tcPr>
            <w:tcW w:w="6700" w:type="dxa"/>
            <w:vAlign w:val="bottom"/>
            <w:gridSpan w:val="14"/>
          </w:tcPr>
          <w:p>
            <w:pPr>
              <w:spacing w:after="0"/>
              <w:rPr>
                <w:sz w:val="13"/>
                <w:szCs w:val="13"/>
                <w:color w:val="auto"/>
              </w:rPr>
            </w:pPr>
          </w:p>
        </w:tc>
        <w:tc>
          <w:tcPr>
            <w:tcW w:w="1940" w:type="dxa"/>
            <w:vAlign w:val="bottom"/>
          </w:tcPr>
          <w:p>
            <w:pPr>
              <w:jc w:val="right"/>
              <w:spacing w:after="0" w:line="156" w:lineRule="exact"/>
              <w:rPr>
                <w:sz w:val="20"/>
                <w:szCs w:val="20"/>
                <w:color w:val="auto"/>
              </w:rPr>
            </w:pPr>
            <w:r>
              <w:rPr>
                <w:rFonts w:ascii="Arial" w:cs="Arial" w:eastAsia="Arial" w:hAnsi="Arial"/>
                <w:sz w:val="15"/>
                <w:szCs w:val="15"/>
                <w:color w:val="auto"/>
              </w:rPr>
              <w:t>50</w:t>
            </w:r>
          </w:p>
        </w:tc>
      </w:tr>
      <w:tr>
        <w:trPr>
          <w:trHeight w:val="156"/>
        </w:trPr>
        <w:tc>
          <w:tcPr>
            <w:tcW w:w="1020" w:type="dxa"/>
            <w:vAlign w:val="bottom"/>
            <w:gridSpan w:val="2"/>
          </w:tcPr>
          <w:p>
            <w:pPr>
              <w:spacing w:after="0" w:line="156" w:lineRule="exact"/>
              <w:rPr>
                <w:sz w:val="20"/>
                <w:szCs w:val="20"/>
                <w:color w:val="auto"/>
              </w:rPr>
            </w:pPr>
            <w:r>
              <w:rPr>
                <w:rFonts w:ascii="Arial" w:cs="Arial" w:eastAsia="Arial" w:hAnsi="Arial"/>
                <w:sz w:val="15"/>
                <w:szCs w:val="15"/>
                <w:color w:val="auto"/>
              </w:rPr>
              <w:t>Item 5.</w:t>
            </w:r>
          </w:p>
        </w:tc>
        <w:tc>
          <w:tcPr>
            <w:tcW w:w="8520" w:type="dxa"/>
            <w:vAlign w:val="bottom"/>
            <w:gridSpan w:val="20"/>
          </w:tcPr>
          <w:p>
            <w:pPr>
              <w:spacing w:after="0" w:line="156" w:lineRule="exact"/>
              <w:rPr>
                <w:rFonts w:ascii="Arial" w:cs="Arial" w:eastAsia="Arial" w:hAnsi="Arial"/>
                <w:sz w:val="15"/>
                <w:szCs w:val="15"/>
                <w:color w:val="0000EE"/>
              </w:rPr>
            </w:pPr>
            <w:hyperlink w:anchor="page50">
              <w:r>
                <w:rPr>
                  <w:rFonts w:ascii="Arial" w:cs="Arial" w:eastAsia="Arial" w:hAnsi="Arial"/>
                  <w:sz w:val="15"/>
                  <w:szCs w:val="15"/>
                  <w:color w:val="0000EE"/>
                </w:rPr>
                <w:t>Other Information</w:t>
              </w:r>
            </w:hyperlink>
          </w:p>
        </w:tc>
        <w:tc>
          <w:tcPr>
            <w:tcW w:w="1940" w:type="dxa"/>
            <w:vAlign w:val="bottom"/>
          </w:tcPr>
          <w:p>
            <w:pPr>
              <w:jc w:val="right"/>
              <w:spacing w:after="0" w:line="156" w:lineRule="exact"/>
              <w:rPr>
                <w:sz w:val="20"/>
                <w:szCs w:val="20"/>
                <w:color w:val="auto"/>
              </w:rPr>
            </w:pPr>
            <w:r>
              <w:rPr>
                <w:rFonts w:ascii="Arial" w:cs="Arial" w:eastAsia="Arial" w:hAnsi="Arial"/>
                <w:sz w:val="15"/>
                <w:szCs w:val="15"/>
                <w:color w:val="auto"/>
              </w:rPr>
              <w:t>50</w:t>
            </w:r>
          </w:p>
        </w:tc>
      </w:tr>
      <w:tr>
        <w:trPr>
          <w:trHeight w:val="156"/>
        </w:trPr>
        <w:tc>
          <w:tcPr>
            <w:tcW w:w="1020" w:type="dxa"/>
            <w:vAlign w:val="bottom"/>
            <w:gridSpan w:val="2"/>
          </w:tcPr>
          <w:p>
            <w:pPr>
              <w:spacing w:after="0" w:line="156" w:lineRule="exact"/>
              <w:rPr>
                <w:sz w:val="20"/>
                <w:szCs w:val="20"/>
                <w:color w:val="auto"/>
              </w:rPr>
            </w:pPr>
            <w:r>
              <w:rPr>
                <w:rFonts w:ascii="Arial" w:cs="Arial" w:eastAsia="Arial" w:hAnsi="Arial"/>
                <w:sz w:val="15"/>
                <w:szCs w:val="15"/>
                <w:color w:val="auto"/>
              </w:rPr>
              <w:t>Item 6.</w:t>
            </w:r>
          </w:p>
        </w:tc>
        <w:tc>
          <w:tcPr>
            <w:tcW w:w="1060" w:type="dxa"/>
            <w:vAlign w:val="bottom"/>
            <w:tcBorders>
              <w:top w:val="single" w:sz="8" w:color="0000EE"/>
            </w:tcBorders>
            <w:gridSpan w:val="3"/>
          </w:tcPr>
          <w:p>
            <w:pPr>
              <w:spacing w:after="0" w:line="156" w:lineRule="exact"/>
              <w:rPr>
                <w:rFonts w:ascii="Arial" w:cs="Arial" w:eastAsia="Arial" w:hAnsi="Arial"/>
                <w:sz w:val="15"/>
                <w:szCs w:val="15"/>
                <w:color w:val="0000EE"/>
              </w:rPr>
            </w:pPr>
            <w:hyperlink w:anchor="page51">
              <w:r>
                <w:rPr>
                  <w:rFonts w:ascii="Arial" w:cs="Arial" w:eastAsia="Arial" w:hAnsi="Arial"/>
                  <w:sz w:val="15"/>
                  <w:szCs w:val="15"/>
                  <w:color w:val="0000EE"/>
                </w:rPr>
                <w:t>Exhibits</w:t>
              </w:r>
            </w:hyperlink>
          </w:p>
        </w:tc>
        <w:tc>
          <w:tcPr>
            <w:tcW w:w="7460" w:type="dxa"/>
            <w:vAlign w:val="bottom"/>
            <w:gridSpan w:val="17"/>
          </w:tcPr>
          <w:p>
            <w:pPr>
              <w:spacing w:after="0"/>
              <w:rPr>
                <w:sz w:val="13"/>
                <w:szCs w:val="13"/>
                <w:color w:val="auto"/>
              </w:rPr>
            </w:pPr>
          </w:p>
        </w:tc>
        <w:tc>
          <w:tcPr>
            <w:tcW w:w="1940" w:type="dxa"/>
            <w:vAlign w:val="bottom"/>
          </w:tcPr>
          <w:p>
            <w:pPr>
              <w:jc w:val="right"/>
              <w:spacing w:after="0" w:line="156" w:lineRule="exact"/>
              <w:rPr>
                <w:sz w:val="20"/>
                <w:szCs w:val="20"/>
                <w:color w:val="auto"/>
              </w:rPr>
            </w:pPr>
            <w:r>
              <w:rPr>
                <w:rFonts w:ascii="Arial" w:cs="Arial" w:eastAsia="Arial" w:hAnsi="Arial"/>
                <w:sz w:val="15"/>
                <w:szCs w:val="15"/>
                <w:color w:val="auto"/>
              </w:rPr>
              <w:t>51</w:t>
            </w:r>
          </w:p>
        </w:tc>
      </w:tr>
      <w:tr>
        <w:trPr>
          <w:trHeight w:val="156"/>
        </w:trPr>
        <w:tc>
          <w:tcPr>
            <w:tcW w:w="1020" w:type="dxa"/>
            <w:vAlign w:val="bottom"/>
            <w:gridSpan w:val="2"/>
          </w:tcPr>
          <w:p>
            <w:pPr>
              <w:spacing w:after="0" w:line="156" w:lineRule="exact"/>
              <w:rPr>
                <w:rFonts w:ascii="Arial" w:cs="Arial" w:eastAsia="Arial" w:hAnsi="Arial"/>
                <w:sz w:val="15"/>
                <w:szCs w:val="15"/>
                <w:color w:val="0000EE"/>
              </w:rPr>
            </w:pPr>
            <w:hyperlink w:anchor="page52">
              <w:r>
                <w:rPr>
                  <w:rFonts w:ascii="Arial" w:cs="Arial" w:eastAsia="Arial" w:hAnsi="Arial"/>
                  <w:sz w:val="15"/>
                  <w:szCs w:val="15"/>
                  <w:color w:val="0000EE"/>
                </w:rPr>
                <w:t>Signatures</w:t>
              </w:r>
            </w:hyperlink>
          </w:p>
        </w:tc>
        <w:tc>
          <w:tcPr>
            <w:tcW w:w="480" w:type="dxa"/>
            <w:vAlign w:val="bottom"/>
            <w:tcBorders>
              <w:top w:val="single" w:sz="8" w:color="0000EE"/>
            </w:tcBorders>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178"/>
        </w:trPr>
        <w:tc>
          <w:tcPr>
            <w:tcW w:w="620" w:type="dxa"/>
            <w:vAlign w:val="bottom"/>
            <w:tcBorders>
              <w:top w:val="single" w:sz="8" w:color="0000EE"/>
            </w:tcBorders>
          </w:tcPr>
          <w:p>
            <w:pPr>
              <w:spacing w:after="0"/>
              <w:rPr>
                <w:sz w:val="20"/>
                <w:szCs w:val="20"/>
                <w:color w:val="auto"/>
              </w:rPr>
            </w:pPr>
            <w:r>
              <w:rPr>
                <w:rFonts w:ascii="Arial" w:cs="Arial" w:eastAsia="Arial" w:hAnsi="Arial"/>
                <w:sz w:val="15"/>
                <w:szCs w:val="15"/>
                <w:color w:val="auto"/>
              </w:rPr>
              <w:t>EX-31.1</w:t>
            </w:r>
          </w:p>
        </w:tc>
        <w:tc>
          <w:tcPr>
            <w:tcW w:w="400" w:type="dxa"/>
            <w:vAlign w:val="bottom"/>
          </w:tcPr>
          <w:p>
            <w:pPr>
              <w:spacing w:after="0"/>
              <w:rPr>
                <w:sz w:val="15"/>
                <w:szCs w:val="15"/>
                <w:color w:val="auto"/>
              </w:rPr>
            </w:pPr>
          </w:p>
        </w:tc>
        <w:tc>
          <w:tcPr>
            <w:tcW w:w="8520" w:type="dxa"/>
            <w:vAlign w:val="bottom"/>
            <w:gridSpan w:val="20"/>
          </w:tcPr>
          <w:p>
            <w:pPr>
              <w:spacing w:after="0"/>
              <w:rPr>
                <w:sz w:val="20"/>
                <w:szCs w:val="20"/>
                <w:color w:val="auto"/>
              </w:rPr>
            </w:pPr>
            <w:r>
              <w:rPr>
                <w:rFonts w:ascii="Arial" w:cs="Arial" w:eastAsia="Arial" w:hAnsi="Arial"/>
                <w:sz w:val="15"/>
                <w:szCs w:val="15"/>
                <w:color w:val="auto"/>
              </w:rPr>
              <w:t>CERTIFICATION OF THE CEO PURSUANT TO SECTION 302</w:t>
            </w:r>
          </w:p>
        </w:tc>
        <w:tc>
          <w:tcPr>
            <w:tcW w:w="1940" w:type="dxa"/>
            <w:vAlign w:val="bottom"/>
          </w:tcPr>
          <w:p>
            <w:pPr>
              <w:spacing w:after="0"/>
              <w:rPr>
                <w:sz w:val="15"/>
                <w:szCs w:val="15"/>
                <w:color w:val="auto"/>
              </w:rPr>
            </w:pPr>
          </w:p>
        </w:tc>
      </w:tr>
      <w:tr>
        <w:trPr>
          <w:trHeight w:val="176"/>
        </w:trPr>
        <w:tc>
          <w:tcPr>
            <w:tcW w:w="1020" w:type="dxa"/>
            <w:vAlign w:val="bottom"/>
            <w:gridSpan w:val="2"/>
          </w:tcPr>
          <w:p>
            <w:pPr>
              <w:spacing w:after="0"/>
              <w:rPr>
                <w:sz w:val="20"/>
                <w:szCs w:val="20"/>
                <w:color w:val="auto"/>
              </w:rPr>
            </w:pPr>
            <w:r>
              <w:rPr>
                <w:rFonts w:ascii="Arial" w:cs="Arial" w:eastAsia="Arial" w:hAnsi="Arial"/>
                <w:sz w:val="15"/>
                <w:szCs w:val="15"/>
                <w:color w:val="auto"/>
              </w:rPr>
              <w:t>EX-31.2</w:t>
            </w:r>
          </w:p>
        </w:tc>
        <w:tc>
          <w:tcPr>
            <w:tcW w:w="8520" w:type="dxa"/>
            <w:vAlign w:val="bottom"/>
            <w:gridSpan w:val="20"/>
          </w:tcPr>
          <w:p>
            <w:pPr>
              <w:spacing w:after="0"/>
              <w:rPr>
                <w:sz w:val="20"/>
                <w:szCs w:val="20"/>
                <w:color w:val="auto"/>
              </w:rPr>
            </w:pPr>
            <w:r>
              <w:rPr>
                <w:rFonts w:ascii="Arial" w:cs="Arial" w:eastAsia="Arial" w:hAnsi="Arial"/>
                <w:sz w:val="15"/>
                <w:szCs w:val="15"/>
                <w:color w:val="auto"/>
              </w:rPr>
              <w:t>CERTIFICATION OF THE CFO PURSUANT TO SECTION 302</w:t>
            </w:r>
          </w:p>
        </w:tc>
        <w:tc>
          <w:tcPr>
            <w:tcW w:w="1940" w:type="dxa"/>
            <w:vAlign w:val="bottom"/>
          </w:tcPr>
          <w:p>
            <w:pPr>
              <w:spacing w:after="0"/>
              <w:rPr>
                <w:sz w:val="15"/>
                <w:szCs w:val="15"/>
                <w:color w:val="auto"/>
              </w:rPr>
            </w:pPr>
          </w:p>
        </w:tc>
      </w:tr>
      <w:tr>
        <w:trPr>
          <w:trHeight w:val="186"/>
        </w:trPr>
        <w:tc>
          <w:tcPr>
            <w:tcW w:w="1020" w:type="dxa"/>
            <w:vAlign w:val="bottom"/>
            <w:gridSpan w:val="2"/>
          </w:tcPr>
          <w:p>
            <w:pPr>
              <w:spacing w:after="0"/>
              <w:rPr>
                <w:sz w:val="20"/>
                <w:szCs w:val="20"/>
                <w:color w:val="auto"/>
              </w:rPr>
            </w:pPr>
            <w:r>
              <w:rPr>
                <w:rFonts w:ascii="Arial" w:cs="Arial" w:eastAsia="Arial" w:hAnsi="Arial"/>
                <w:sz w:val="15"/>
                <w:szCs w:val="15"/>
                <w:color w:val="auto"/>
              </w:rPr>
              <w:t>EX-32.1</w:t>
            </w:r>
          </w:p>
        </w:tc>
        <w:tc>
          <w:tcPr>
            <w:tcW w:w="8520" w:type="dxa"/>
            <w:vAlign w:val="bottom"/>
            <w:gridSpan w:val="20"/>
          </w:tcPr>
          <w:p>
            <w:pPr>
              <w:spacing w:after="0"/>
              <w:rPr>
                <w:sz w:val="20"/>
                <w:szCs w:val="20"/>
                <w:color w:val="auto"/>
              </w:rPr>
            </w:pPr>
            <w:r>
              <w:rPr>
                <w:rFonts w:ascii="Arial" w:cs="Arial" w:eastAsia="Arial" w:hAnsi="Arial"/>
                <w:sz w:val="15"/>
                <w:szCs w:val="15"/>
                <w:color w:val="auto"/>
              </w:rPr>
              <w:t>CERTIFICATION OF THE CEO AND CFO PURSUANT TO SECTION 906</w:t>
            </w:r>
          </w:p>
        </w:tc>
        <w:tc>
          <w:tcPr>
            <w:tcW w:w="1940" w:type="dxa"/>
            <w:vAlign w:val="bottom"/>
          </w:tcPr>
          <w:p>
            <w:pPr>
              <w:spacing w:after="0"/>
              <w:rPr>
                <w:sz w:val="16"/>
                <w:szCs w:val="16"/>
                <w:color w:val="auto"/>
              </w:rPr>
            </w:pPr>
          </w:p>
        </w:tc>
      </w:tr>
      <w:tr>
        <w:trPr>
          <w:trHeight w:val="967"/>
        </w:trPr>
        <w:tc>
          <w:tcPr>
            <w:tcW w:w="6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-26035</wp:posOffset>
            </wp:positionV>
            <wp:extent cx="32385"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300" w:right="1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5"/>
          <w:szCs w:val="15"/>
          <w:b w:val="1"/>
          <w:bCs w:val="1"/>
          <w:color w:val="auto"/>
        </w:rPr>
        <w:t>SPECIAL NOTE REGARDING FORWARD-LOOKING STATEMENTS</w:t>
      </w:r>
    </w:p>
    <w:p>
      <w:pPr>
        <w:spacing w:after="0" w:line="18" w:lineRule="exact"/>
        <w:rPr>
          <w:sz w:val="20"/>
          <w:szCs w:val="20"/>
          <w:color w:val="auto"/>
        </w:rPr>
      </w:pPr>
    </w:p>
    <w:p>
      <w:pPr>
        <w:ind w:firstLine="520"/>
        <w:spacing w:after="0" w:line="265" w:lineRule="auto"/>
        <w:rPr>
          <w:sz w:val="20"/>
          <w:szCs w:val="20"/>
          <w:color w:val="auto"/>
        </w:rPr>
      </w:pPr>
      <w:r>
        <w:rPr>
          <w:rFonts w:ascii="Arial" w:cs="Arial" w:eastAsia="Arial" w:hAnsi="Arial"/>
          <w:sz w:val="14"/>
          <w:szCs w:val="14"/>
          <w:color w:val="auto"/>
        </w:rPr>
        <w:t>This Quarterly Report on Form 10-Q contains forward-looking statements within the meaning of Section 27A of the Securities Act of 1933, as amended, and Section 21E of the Securities Exchange Act of 1934, as amended, and these statements involve substantial risks and uncertainties. All statements other than statements of historical fact contained in this Quarterly Report on Form 10-Q are forward-looking statements. Forward-looking statements generally relate to future events or our future financial or operating performance. In some cases, you can identify forward-looking statements because they contain words such as “may,”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64" w:lineRule="exact"/>
        <w:rPr>
          <w:sz w:val="20"/>
          <w:szCs w:val="20"/>
          <w:color w:val="auto"/>
        </w:rPr>
      </w:pPr>
    </w:p>
    <w:p>
      <w:pPr>
        <w:ind w:left="1040" w:hanging="517"/>
        <w:spacing w:after="0"/>
        <w:tabs>
          <w:tab w:leader="none" w:pos="104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future financial performance, including our expectations regarding our revenue, cost of revenue, gross margin and operating expenses;</w:t>
      </w:r>
    </w:p>
    <w:p>
      <w:pPr>
        <w:spacing w:after="0" w:line="90" w:lineRule="exact"/>
        <w:rPr>
          <w:rFonts w:ascii="Arial" w:cs="Arial" w:eastAsia="Arial" w:hAnsi="Arial"/>
          <w:sz w:val="15"/>
          <w:szCs w:val="15"/>
          <w:color w:val="auto"/>
        </w:rPr>
      </w:pPr>
    </w:p>
    <w:p>
      <w:pPr>
        <w:ind w:left="1040" w:hanging="517"/>
        <w:spacing w:after="0"/>
        <w:tabs>
          <w:tab w:leader="none" w:pos="1040" w:val="left"/>
        </w:tabs>
        <w:numPr>
          <w:ilvl w:val="0"/>
          <w:numId w:val="3"/>
        </w:numPr>
        <w:rPr>
          <w:rFonts w:ascii="Arial" w:cs="Arial" w:eastAsia="Arial" w:hAnsi="Arial"/>
          <w:sz w:val="15"/>
          <w:szCs w:val="15"/>
          <w:color w:val="auto"/>
        </w:rPr>
      </w:pPr>
      <w:r>
        <w:rPr>
          <w:rFonts w:ascii="Arial" w:cs="Arial" w:eastAsia="Arial" w:hAnsi="Arial"/>
          <w:sz w:val="15"/>
          <w:szCs w:val="15"/>
          <w:color w:val="auto"/>
        </w:rPr>
        <w:t>maintaining and expanding our customer base and increasing our average subscription revenue per customer;</w:t>
      </w:r>
    </w:p>
    <w:p>
      <w:pPr>
        <w:spacing w:after="0" w:line="90" w:lineRule="exact"/>
        <w:rPr>
          <w:rFonts w:ascii="Arial" w:cs="Arial" w:eastAsia="Arial" w:hAnsi="Arial"/>
          <w:sz w:val="15"/>
          <w:szCs w:val="15"/>
          <w:color w:val="auto"/>
        </w:rPr>
      </w:pPr>
    </w:p>
    <w:p>
      <w:pPr>
        <w:ind w:left="1040" w:hanging="517"/>
        <w:spacing w:after="0"/>
        <w:tabs>
          <w:tab w:leader="none" w:pos="104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impact of competition in our industry and innovation by our competitors;</w:t>
      </w:r>
    </w:p>
    <w:p>
      <w:pPr>
        <w:spacing w:after="0" w:line="90" w:lineRule="exact"/>
        <w:rPr>
          <w:rFonts w:ascii="Arial" w:cs="Arial" w:eastAsia="Arial" w:hAnsi="Arial"/>
          <w:sz w:val="15"/>
          <w:szCs w:val="15"/>
          <w:color w:val="auto"/>
        </w:rPr>
      </w:pPr>
    </w:p>
    <w:p>
      <w:pPr>
        <w:ind w:left="1040" w:hanging="517"/>
        <w:spacing w:after="0"/>
        <w:tabs>
          <w:tab w:leader="none" w:pos="104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anticipated growth and expectations regarding our ability to manage our future growth;</w:t>
      </w:r>
    </w:p>
    <w:p>
      <w:pPr>
        <w:spacing w:after="0" w:line="90" w:lineRule="exact"/>
        <w:rPr>
          <w:rFonts w:ascii="Arial" w:cs="Arial" w:eastAsia="Arial" w:hAnsi="Arial"/>
          <w:sz w:val="15"/>
          <w:szCs w:val="15"/>
          <w:color w:val="auto"/>
        </w:rPr>
      </w:pPr>
    </w:p>
    <w:p>
      <w:pPr>
        <w:ind w:left="1040" w:right="140" w:hanging="517"/>
        <w:spacing w:after="0" w:line="263" w:lineRule="auto"/>
        <w:tabs>
          <w:tab w:leader="none" w:pos="104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anticipated areas of investments, including sales and marketing, research and development, customer service and support, data center infrastructure and service capabilities, and expectations relating to such investments;</w:t>
      </w:r>
    </w:p>
    <w:p>
      <w:pPr>
        <w:spacing w:after="0" w:line="60" w:lineRule="exact"/>
        <w:rPr>
          <w:rFonts w:ascii="Arial" w:cs="Arial" w:eastAsia="Arial" w:hAnsi="Arial"/>
          <w:sz w:val="15"/>
          <w:szCs w:val="15"/>
          <w:color w:val="auto"/>
        </w:rPr>
      </w:pPr>
    </w:p>
    <w:p>
      <w:pPr>
        <w:ind w:left="1040" w:hanging="517"/>
        <w:spacing w:after="0"/>
        <w:tabs>
          <w:tab w:leader="none" w:pos="104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predictions about industry and market trends;</w:t>
      </w:r>
    </w:p>
    <w:p>
      <w:pPr>
        <w:spacing w:after="0" w:line="90" w:lineRule="exact"/>
        <w:rPr>
          <w:rFonts w:ascii="Arial" w:cs="Arial" w:eastAsia="Arial" w:hAnsi="Arial"/>
          <w:sz w:val="15"/>
          <w:szCs w:val="15"/>
          <w:color w:val="auto"/>
        </w:rPr>
      </w:pPr>
    </w:p>
    <w:p>
      <w:pPr>
        <w:ind w:left="1040" w:right="420" w:hanging="517"/>
        <w:spacing w:after="0" w:line="263" w:lineRule="auto"/>
        <w:tabs>
          <w:tab w:leader="none" w:pos="104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anticipate and address the evolution of technology and the technological needs of our customers, to roll-out upgrades to our existing software platform and to develop new and enhanced applications to meet the needs of our customers;</w:t>
      </w:r>
    </w:p>
    <w:p>
      <w:pPr>
        <w:spacing w:after="0" w:line="60" w:lineRule="exact"/>
        <w:rPr>
          <w:rFonts w:ascii="Arial" w:cs="Arial" w:eastAsia="Arial" w:hAnsi="Arial"/>
          <w:sz w:val="15"/>
          <w:szCs w:val="15"/>
          <w:color w:val="auto"/>
        </w:rPr>
      </w:pPr>
    </w:p>
    <w:p>
      <w:pPr>
        <w:ind w:left="1040" w:hanging="517"/>
        <w:spacing w:after="0"/>
        <w:tabs>
          <w:tab w:leader="none" w:pos="104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maintain our brand and inbound marketing thought leadership position;</w:t>
      </w:r>
    </w:p>
    <w:p>
      <w:pPr>
        <w:spacing w:after="0" w:line="90" w:lineRule="exact"/>
        <w:rPr>
          <w:rFonts w:ascii="Arial" w:cs="Arial" w:eastAsia="Arial" w:hAnsi="Arial"/>
          <w:sz w:val="15"/>
          <w:szCs w:val="15"/>
          <w:color w:val="auto"/>
        </w:rPr>
      </w:pPr>
    </w:p>
    <w:p>
      <w:pPr>
        <w:ind w:left="1040" w:hanging="517"/>
        <w:spacing w:after="0"/>
        <w:tabs>
          <w:tab w:leader="none" w:pos="104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impact of our corporate culture and our ability to attract, hire and retain necessary qualified employees to expand our operations;</w:t>
      </w:r>
    </w:p>
    <w:p>
      <w:pPr>
        <w:spacing w:after="0" w:line="90" w:lineRule="exact"/>
        <w:rPr>
          <w:rFonts w:ascii="Arial" w:cs="Arial" w:eastAsia="Arial" w:hAnsi="Arial"/>
          <w:sz w:val="15"/>
          <w:szCs w:val="15"/>
          <w:color w:val="auto"/>
        </w:rPr>
      </w:pPr>
    </w:p>
    <w:p>
      <w:pPr>
        <w:ind w:left="1040" w:hanging="517"/>
        <w:spacing w:after="0"/>
        <w:tabs>
          <w:tab w:leader="none" w:pos="104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anticipated effect on our business of litigation to which we are or may become a party;</w:t>
      </w:r>
    </w:p>
    <w:p>
      <w:pPr>
        <w:spacing w:after="0" w:line="90" w:lineRule="exact"/>
        <w:rPr>
          <w:rFonts w:ascii="Arial" w:cs="Arial" w:eastAsia="Arial" w:hAnsi="Arial"/>
          <w:sz w:val="15"/>
          <w:szCs w:val="15"/>
          <w:color w:val="auto"/>
        </w:rPr>
      </w:pPr>
    </w:p>
    <w:p>
      <w:pPr>
        <w:ind w:left="1040" w:hanging="517"/>
        <w:spacing w:after="0"/>
        <w:tabs>
          <w:tab w:leader="none" w:pos="104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successfully acquire and integrate companies and assets;</w:t>
      </w:r>
    </w:p>
    <w:p>
      <w:pPr>
        <w:spacing w:after="0" w:line="90" w:lineRule="exact"/>
        <w:rPr>
          <w:rFonts w:ascii="Arial" w:cs="Arial" w:eastAsia="Arial" w:hAnsi="Arial"/>
          <w:sz w:val="15"/>
          <w:szCs w:val="15"/>
          <w:color w:val="auto"/>
        </w:rPr>
      </w:pPr>
    </w:p>
    <w:p>
      <w:pPr>
        <w:ind w:left="1040" w:hanging="517"/>
        <w:spacing w:after="0"/>
        <w:tabs>
          <w:tab w:leader="none" w:pos="104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U.S. federal tax consequences due to dividends received as part of the move to a territorial tax system for foreign subsidiary earnings;</w:t>
      </w:r>
    </w:p>
    <w:p>
      <w:pPr>
        <w:spacing w:after="0" w:line="90" w:lineRule="exact"/>
        <w:rPr>
          <w:rFonts w:ascii="Arial" w:cs="Arial" w:eastAsia="Arial" w:hAnsi="Arial"/>
          <w:sz w:val="15"/>
          <w:szCs w:val="15"/>
          <w:color w:val="auto"/>
        </w:rPr>
      </w:pPr>
    </w:p>
    <w:p>
      <w:pPr>
        <w:ind w:left="1040" w:hanging="517"/>
        <w:spacing w:after="0"/>
        <w:tabs>
          <w:tab w:leader="none" w:pos="104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plans regarding declaring or paying cash dividends in the foreseeable future; and</w:t>
      </w:r>
    </w:p>
    <w:p>
      <w:pPr>
        <w:spacing w:after="0" w:line="90" w:lineRule="exact"/>
        <w:rPr>
          <w:rFonts w:ascii="Arial" w:cs="Arial" w:eastAsia="Arial" w:hAnsi="Arial"/>
          <w:sz w:val="15"/>
          <w:szCs w:val="15"/>
          <w:color w:val="auto"/>
        </w:rPr>
      </w:pPr>
    </w:p>
    <w:p>
      <w:pPr>
        <w:ind w:left="1040" w:hanging="517"/>
        <w:spacing w:after="0"/>
        <w:tabs>
          <w:tab w:leader="none" w:pos="10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stay abreast of new or modified laws and regulations that currently apply or become applicable to our business both in the United States and internationally.</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5"/>
          <w:szCs w:val="15"/>
          <w:color w:val="auto"/>
        </w:rPr>
        <w:t>We caution you that the foregoing list may not contain all of the forward-looking statements made in this Quarterly Report on Form 10-Q.</w:t>
      </w:r>
    </w:p>
    <w:p>
      <w:pPr>
        <w:spacing w:after="0" w:line="91" w:lineRule="exact"/>
        <w:rPr>
          <w:sz w:val="20"/>
          <w:szCs w:val="20"/>
          <w:color w:val="auto"/>
        </w:rPr>
      </w:pPr>
    </w:p>
    <w:p>
      <w:pPr>
        <w:ind w:right="20" w:firstLine="520"/>
        <w:spacing w:after="0" w:line="293" w:lineRule="auto"/>
        <w:rPr>
          <w:sz w:val="20"/>
          <w:szCs w:val="20"/>
          <w:color w:val="auto"/>
        </w:rPr>
      </w:pPr>
      <w:r>
        <w:rPr>
          <w:rFonts w:ascii="Arial" w:cs="Arial" w:eastAsia="Arial" w:hAnsi="Arial"/>
          <w:sz w:val="13"/>
          <w:szCs w:val="13"/>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46" w:lineRule="exact"/>
        <w:rPr>
          <w:sz w:val="20"/>
          <w:szCs w:val="20"/>
          <w:color w:val="auto"/>
        </w:rPr>
      </w:pPr>
    </w:p>
    <w:p>
      <w:pPr>
        <w:jc w:val="both"/>
        <w:ind w:right="100" w:firstLine="520"/>
        <w:spacing w:after="0" w:line="253" w:lineRule="auto"/>
        <w:rPr>
          <w:sz w:val="20"/>
          <w:szCs w:val="20"/>
          <w:color w:val="auto"/>
        </w:rPr>
      </w:pPr>
      <w:r>
        <w:rPr>
          <w:rFonts w:ascii="Arial" w:cs="Arial" w:eastAsia="Arial" w:hAnsi="Arial"/>
          <w:sz w:val="15"/>
          <w:szCs w:val="15"/>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We may not actually achieve the plans, intentions or expectations disclosed in our forward-looking statements and you should not place undue reliance on our forward-looking statements.</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Our forward-looking statements do not reflect the potential impact of any future acquisitions, mergers, dispositions, joint ventures or investments we may make.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1390"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60"/>
          </w:cols>
          <w:pgMar w:left="220" w:top="300" w:right="219" w:bottom="1440" w:gutter="0" w:footer="0" w:header="0"/>
        </w:sectPr>
      </w:pPr>
    </w:p>
    <w:bookmarkStart w:id="3" w:name="page4"/>
    <w:bookmarkEnd w:id="3"/>
    <w:p>
      <w:pPr>
        <w:spacing w:after="0"/>
        <w:rPr>
          <w:sz w:val="20"/>
          <w:szCs w:val="20"/>
          <w:color w:val="auto"/>
        </w:rPr>
      </w:pPr>
      <w:r>
        <w:rPr>
          <w:rFonts w:ascii="Arial" w:cs="Arial" w:eastAsia="Arial" w:hAnsi="Arial"/>
          <w:sz w:val="13"/>
          <w:szCs w:val="13"/>
          <w:color w:val="auto"/>
        </w:rPr>
        <w:t>In this Quarterly Report on Form 10-Q, the terms “HubSpot,” “we,” “us,” and “our” refer to HubSpot, Inc. and its subsidiaries, unless the context indicates otherwise.</w:t>
      </w:r>
    </w:p>
    <w:p>
      <w:pPr>
        <w:sectPr>
          <w:pgSz w:w="11900" w:h="16838" w:orient="portrait"/>
          <w:cols w:equalWidth="0" w:num="1">
            <w:col w:w="9720"/>
          </w:cols>
          <w:pgMar w:left="740" w:top="304" w:right="1439" w:bottom="1440" w:gutter="0" w:footer="0" w:header="0"/>
        </w:sectPr>
      </w:pPr>
    </w:p>
    <w:p>
      <w:pPr>
        <w:spacing w:after="0" w:line="202" w:lineRule="exact"/>
        <w:rPr>
          <w:sz w:val="20"/>
          <w:szCs w:val="20"/>
          <w:color w:val="auto"/>
        </w:rPr>
      </w:pPr>
    </w:p>
    <w:p>
      <w:pPr>
        <w:ind w:left="518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59055</wp:posOffset>
            </wp:positionV>
            <wp:extent cx="7311390"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9720"/>
          </w:cols>
          <w:pgMar w:left="740" w:top="304" w:right="14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90"/>
        </w:trPr>
        <w:tc>
          <w:tcPr>
            <w:tcW w:w="960" w:type="dxa"/>
            <w:vAlign w:val="bottom"/>
          </w:tcPr>
          <w:p>
            <w:pPr>
              <w:spacing w:after="0"/>
              <w:rPr>
                <w:sz w:val="16"/>
                <w:szCs w:val="16"/>
                <w:color w:val="auto"/>
              </w:rPr>
            </w:pPr>
          </w:p>
        </w:tc>
        <w:tc>
          <w:tcPr>
            <w:tcW w:w="6740" w:type="dxa"/>
            <w:vAlign w:val="bottom"/>
          </w:tcPr>
          <w:p>
            <w:pPr>
              <w:jc w:val="center"/>
              <w:ind w:left="2747"/>
              <w:spacing w:after="0"/>
              <w:rPr>
                <w:sz w:val="20"/>
                <w:szCs w:val="20"/>
                <w:color w:val="auto"/>
              </w:rPr>
            </w:pPr>
            <w:r>
              <w:rPr>
                <w:rFonts w:ascii="Arial" w:cs="Arial" w:eastAsia="Arial" w:hAnsi="Arial"/>
                <w:sz w:val="15"/>
                <w:szCs w:val="15"/>
                <w:b w:val="1"/>
                <w:bCs w:val="1"/>
                <w:color w:val="auto"/>
                <w:w w:val="92"/>
              </w:rPr>
              <w:t>PART I — Financial Information</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73"/>
        </w:trPr>
        <w:tc>
          <w:tcPr>
            <w:tcW w:w="960" w:type="dxa"/>
            <w:vAlign w:val="bottom"/>
          </w:tcPr>
          <w:p>
            <w:pPr>
              <w:spacing w:after="0"/>
              <w:rPr>
                <w:sz w:val="20"/>
                <w:szCs w:val="20"/>
                <w:color w:val="auto"/>
              </w:rPr>
            </w:pPr>
            <w:r>
              <w:rPr>
                <w:rFonts w:ascii="Arial" w:cs="Arial" w:eastAsia="Arial" w:hAnsi="Arial"/>
                <w:sz w:val="15"/>
                <w:szCs w:val="15"/>
                <w:b w:val="1"/>
                <w:bCs w:val="1"/>
                <w:color w:val="auto"/>
              </w:rPr>
              <w:t>Item 1.</w:t>
            </w:r>
          </w:p>
        </w:tc>
        <w:tc>
          <w:tcPr>
            <w:tcW w:w="6740" w:type="dxa"/>
            <w:vAlign w:val="bottom"/>
          </w:tcPr>
          <w:p>
            <w:pPr>
              <w:ind w:left="80"/>
              <w:spacing w:after="0"/>
              <w:rPr>
                <w:sz w:val="20"/>
                <w:szCs w:val="20"/>
                <w:color w:val="auto"/>
              </w:rPr>
            </w:pPr>
            <w:r>
              <w:rPr>
                <w:rFonts w:ascii="Arial" w:cs="Arial" w:eastAsia="Arial" w:hAnsi="Arial"/>
                <w:sz w:val="15"/>
                <w:szCs w:val="15"/>
                <w:b w:val="1"/>
                <w:bCs w:val="1"/>
                <w:color w:val="auto"/>
              </w:rPr>
              <w:t>Financial Statements</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36"/>
        </w:trPr>
        <w:tc>
          <w:tcPr>
            <w:tcW w:w="960" w:type="dxa"/>
            <w:vAlign w:val="bottom"/>
          </w:tcPr>
          <w:p>
            <w:pPr>
              <w:spacing w:after="0"/>
              <w:rPr>
                <w:sz w:val="24"/>
                <w:szCs w:val="24"/>
                <w:color w:val="auto"/>
              </w:rPr>
            </w:pPr>
          </w:p>
        </w:tc>
        <w:tc>
          <w:tcPr>
            <w:tcW w:w="6740" w:type="dxa"/>
            <w:vAlign w:val="bottom"/>
          </w:tcPr>
          <w:p>
            <w:pPr>
              <w:jc w:val="center"/>
              <w:ind w:left="2747"/>
              <w:spacing w:after="0"/>
              <w:rPr>
                <w:sz w:val="20"/>
                <w:szCs w:val="20"/>
                <w:color w:val="auto"/>
              </w:rPr>
            </w:pPr>
            <w:r>
              <w:rPr>
                <w:rFonts w:ascii="Arial" w:cs="Arial" w:eastAsia="Arial" w:hAnsi="Arial"/>
                <w:sz w:val="15"/>
                <w:szCs w:val="15"/>
                <w:b w:val="1"/>
                <w:bCs w:val="1"/>
                <w:color w:val="auto"/>
                <w:w w:val="90"/>
              </w:rPr>
              <w:t>HubSpot, Inc.</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6"/>
        </w:trPr>
        <w:tc>
          <w:tcPr>
            <w:tcW w:w="960" w:type="dxa"/>
            <w:vAlign w:val="bottom"/>
          </w:tcPr>
          <w:p>
            <w:pPr>
              <w:spacing w:after="0"/>
              <w:rPr>
                <w:sz w:val="15"/>
                <w:szCs w:val="15"/>
                <w:color w:val="auto"/>
              </w:rPr>
            </w:pPr>
          </w:p>
        </w:tc>
        <w:tc>
          <w:tcPr>
            <w:tcW w:w="6740" w:type="dxa"/>
            <w:vAlign w:val="bottom"/>
          </w:tcPr>
          <w:p>
            <w:pPr>
              <w:jc w:val="center"/>
              <w:ind w:left="2747"/>
              <w:spacing w:after="0"/>
              <w:rPr>
                <w:sz w:val="20"/>
                <w:szCs w:val="20"/>
                <w:color w:val="auto"/>
              </w:rPr>
            </w:pPr>
            <w:r>
              <w:rPr>
                <w:rFonts w:ascii="Arial" w:cs="Arial" w:eastAsia="Arial" w:hAnsi="Arial"/>
                <w:sz w:val="15"/>
                <w:szCs w:val="15"/>
                <w:b w:val="1"/>
                <w:bCs w:val="1"/>
                <w:color w:val="auto"/>
                <w:w w:val="86"/>
              </w:rPr>
              <w:t>Unaudited Consolidated Balance Sheets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0"/>
        </w:trPr>
        <w:tc>
          <w:tcPr>
            <w:tcW w:w="960" w:type="dxa"/>
            <w:vAlign w:val="bottom"/>
          </w:tcPr>
          <w:p>
            <w:pPr>
              <w:spacing w:after="0"/>
              <w:rPr>
                <w:sz w:val="16"/>
                <w:szCs w:val="16"/>
                <w:color w:val="auto"/>
              </w:rPr>
            </w:pPr>
          </w:p>
        </w:tc>
        <w:tc>
          <w:tcPr>
            <w:tcW w:w="6740" w:type="dxa"/>
            <w:vAlign w:val="bottom"/>
          </w:tcPr>
          <w:p>
            <w:pPr>
              <w:jc w:val="center"/>
              <w:ind w:left="2727"/>
              <w:spacing w:after="0"/>
              <w:rPr>
                <w:sz w:val="20"/>
                <w:szCs w:val="20"/>
                <w:color w:val="auto"/>
              </w:rPr>
            </w:pPr>
            <w:r>
              <w:rPr>
                <w:rFonts w:ascii="Arial" w:cs="Arial" w:eastAsia="Arial" w:hAnsi="Arial"/>
                <w:sz w:val="15"/>
                <w:szCs w:val="15"/>
                <w:b w:val="1"/>
                <w:bCs w:val="1"/>
                <w:color w:val="auto"/>
                <w:w w:val="87"/>
              </w:rPr>
              <w:t>(in thousands)</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66"/>
        </w:trPr>
        <w:tc>
          <w:tcPr>
            <w:tcW w:w="96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2"/>
                <w:szCs w:val="12"/>
                <w:b w:val="1"/>
                <w:bCs w:val="1"/>
                <w:color w:val="auto"/>
              </w:rPr>
              <w:t>March 31,</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December 31,</w:t>
            </w:r>
          </w:p>
        </w:tc>
      </w:tr>
      <w:tr>
        <w:trPr>
          <w:trHeight w:val="138"/>
        </w:trPr>
        <w:tc>
          <w:tcPr>
            <w:tcW w:w="96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220" w:type="dxa"/>
            <w:vAlign w:val="bottom"/>
            <w:gridSpan w:val="2"/>
          </w:tcPr>
          <w:p>
            <w:pPr>
              <w:jc w:val="right"/>
              <w:ind w:right="82"/>
              <w:spacing w:after="0"/>
              <w:rPr>
                <w:sz w:val="20"/>
                <w:szCs w:val="20"/>
                <w:color w:val="auto"/>
              </w:rPr>
            </w:pPr>
            <w:r>
              <w:rPr>
                <w:rFonts w:ascii="Arial" w:cs="Arial" w:eastAsia="Arial" w:hAnsi="Arial"/>
                <w:sz w:val="12"/>
                <w:szCs w:val="12"/>
                <w:b w:val="1"/>
                <w:bCs w:val="1"/>
                <w:color w:val="auto"/>
              </w:rPr>
              <w:t>2018</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right"/>
              <w:ind w:right="608"/>
              <w:spacing w:after="0"/>
              <w:rPr>
                <w:sz w:val="20"/>
                <w:szCs w:val="20"/>
                <w:color w:val="auto"/>
              </w:rPr>
            </w:pPr>
            <w:r>
              <w:rPr>
                <w:rFonts w:ascii="Arial" w:cs="Arial" w:eastAsia="Arial" w:hAnsi="Arial"/>
                <w:sz w:val="12"/>
                <w:szCs w:val="12"/>
                <w:b w:val="1"/>
                <w:bCs w:val="1"/>
                <w:color w:val="auto"/>
              </w:rPr>
              <w:t>2017</w:t>
            </w:r>
          </w:p>
        </w:tc>
        <w:tc>
          <w:tcPr>
            <w:tcW w:w="120" w:type="dxa"/>
            <w:vAlign w:val="bottom"/>
          </w:tcPr>
          <w:p>
            <w:pPr>
              <w:spacing w:after="0"/>
              <w:rPr>
                <w:sz w:val="12"/>
                <w:szCs w:val="12"/>
                <w:color w:val="auto"/>
              </w:rPr>
            </w:pPr>
          </w:p>
        </w:tc>
      </w:tr>
      <w:tr>
        <w:trPr>
          <w:trHeight w:val="177"/>
        </w:trPr>
        <w:tc>
          <w:tcPr>
            <w:tcW w:w="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b w:val="1"/>
                <w:bCs w:val="1"/>
                <w:color w:val="auto"/>
              </w:rPr>
              <w:t>Assets</w:t>
            </w:r>
          </w:p>
        </w:tc>
        <w:tc>
          <w:tcPr>
            <w:tcW w:w="674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54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132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r>
      <w:tr>
        <w:trPr>
          <w:trHeight w:val="186"/>
        </w:trPr>
        <w:tc>
          <w:tcPr>
            <w:tcW w:w="960" w:type="dxa"/>
            <w:vAlign w:val="bottom"/>
          </w:tcPr>
          <w:p>
            <w:pPr>
              <w:spacing w:after="0"/>
              <w:rPr>
                <w:sz w:val="20"/>
                <w:szCs w:val="20"/>
                <w:color w:val="auto"/>
              </w:rPr>
            </w:pPr>
            <w:r>
              <w:rPr>
                <w:rFonts w:ascii="Arial" w:cs="Arial" w:eastAsia="Arial" w:hAnsi="Arial"/>
                <w:sz w:val="15"/>
                <w:szCs w:val="15"/>
                <w:color w:val="auto"/>
                <w:w w:val="92"/>
              </w:rPr>
              <w:t>Current assets:</w:t>
            </w:r>
          </w:p>
        </w:tc>
        <w:tc>
          <w:tcPr>
            <w:tcW w:w="6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6"/>
        </w:trPr>
        <w:tc>
          <w:tcPr>
            <w:tcW w:w="7700" w:type="dxa"/>
            <w:vAlign w:val="bottom"/>
            <w:gridSpan w:val="2"/>
            <w:shd w:val="clear" w:color="auto" w:fill="CFF0FC"/>
          </w:tcPr>
          <w:p>
            <w:pPr>
              <w:ind w:left="200"/>
              <w:spacing w:after="0"/>
              <w:rPr>
                <w:sz w:val="20"/>
                <w:szCs w:val="20"/>
                <w:color w:val="auto"/>
              </w:rPr>
            </w:pPr>
            <w:r>
              <w:rPr>
                <w:rFonts w:ascii="Arial" w:cs="Arial" w:eastAsia="Arial" w:hAnsi="Arial"/>
                <w:sz w:val="15"/>
                <w:szCs w:val="15"/>
                <w:color w:val="auto"/>
              </w:rPr>
              <w:t>Cash and cash equivalents</w:t>
            </w:r>
          </w:p>
        </w:tc>
        <w:tc>
          <w:tcPr>
            <w:tcW w:w="1220" w:type="dxa"/>
            <w:vAlign w:val="bottom"/>
            <w:gridSpan w:val="2"/>
            <w:shd w:val="clear" w:color="auto" w:fill="CFF0FC"/>
          </w:tcPr>
          <w:p>
            <w:pPr>
              <w:jc w:val="right"/>
              <w:ind w:right="902"/>
              <w:spacing w:after="0"/>
              <w:rPr>
                <w:sz w:val="20"/>
                <w:szCs w:val="20"/>
                <w:color w:val="auto"/>
              </w:rPr>
            </w:pPr>
            <w:r>
              <w:rPr>
                <w:rFonts w:ascii="Arial" w:cs="Arial" w:eastAsia="Arial" w:hAnsi="Arial"/>
                <w:sz w:val="15"/>
                <w:szCs w:val="15"/>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154,031</w:t>
            </w:r>
          </w:p>
        </w:tc>
        <w:tc>
          <w:tcPr>
            <w:tcW w:w="120" w:type="dxa"/>
            <w:vAlign w:val="bottom"/>
            <w:shd w:val="clear" w:color="auto" w:fill="CFF0FC"/>
          </w:tcPr>
          <w:p>
            <w:pPr>
              <w:spacing w:after="0"/>
              <w:rPr>
                <w:sz w:val="16"/>
                <w:szCs w:val="16"/>
                <w:color w:val="auto"/>
              </w:rPr>
            </w:pP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87,680</w:t>
            </w:r>
          </w:p>
        </w:tc>
        <w:tc>
          <w:tcPr>
            <w:tcW w:w="120" w:type="dxa"/>
            <w:vAlign w:val="bottom"/>
            <w:shd w:val="clear" w:color="auto" w:fill="CFF0FC"/>
          </w:tcPr>
          <w:p>
            <w:pPr>
              <w:spacing w:after="0"/>
              <w:rPr>
                <w:sz w:val="16"/>
                <w:szCs w:val="16"/>
                <w:color w:val="auto"/>
              </w:rPr>
            </w:pPr>
          </w:p>
        </w:tc>
      </w:tr>
      <w:tr>
        <w:trPr>
          <w:trHeight w:val="186"/>
        </w:trPr>
        <w:tc>
          <w:tcPr>
            <w:tcW w:w="7700" w:type="dxa"/>
            <w:vAlign w:val="bottom"/>
            <w:gridSpan w:val="2"/>
          </w:tcPr>
          <w:p>
            <w:pPr>
              <w:ind w:left="200"/>
              <w:spacing w:after="0"/>
              <w:rPr>
                <w:sz w:val="20"/>
                <w:szCs w:val="20"/>
                <w:color w:val="auto"/>
              </w:rPr>
            </w:pPr>
            <w:r>
              <w:rPr>
                <w:rFonts w:ascii="Arial" w:cs="Arial" w:eastAsia="Arial" w:hAnsi="Arial"/>
                <w:sz w:val="15"/>
                <w:szCs w:val="15"/>
                <w:color w:val="auto"/>
              </w:rPr>
              <w:t>Short-term investments</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w w:val="95"/>
              </w:rPr>
              <w:t>375,379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416,663</w:t>
            </w:r>
          </w:p>
        </w:tc>
        <w:tc>
          <w:tcPr>
            <w:tcW w:w="120" w:type="dxa"/>
            <w:vAlign w:val="bottom"/>
          </w:tcPr>
          <w:p>
            <w:pPr>
              <w:spacing w:after="0"/>
              <w:rPr>
                <w:sz w:val="16"/>
                <w:szCs w:val="16"/>
                <w:color w:val="auto"/>
              </w:rPr>
            </w:pPr>
          </w:p>
        </w:tc>
      </w:tr>
      <w:tr>
        <w:trPr>
          <w:trHeight w:val="176"/>
        </w:trPr>
        <w:tc>
          <w:tcPr>
            <w:tcW w:w="7700" w:type="dxa"/>
            <w:vAlign w:val="bottom"/>
            <w:gridSpan w:val="2"/>
            <w:shd w:val="clear" w:color="auto" w:fill="CFF0FC"/>
          </w:tcPr>
          <w:p>
            <w:pPr>
              <w:ind w:left="200"/>
              <w:spacing w:after="0"/>
              <w:rPr>
                <w:sz w:val="20"/>
                <w:szCs w:val="20"/>
                <w:color w:val="auto"/>
              </w:rPr>
            </w:pPr>
            <w:r>
              <w:rPr>
                <w:rFonts w:ascii="Arial" w:cs="Arial" w:eastAsia="Arial" w:hAnsi="Arial"/>
                <w:sz w:val="15"/>
                <w:szCs w:val="15"/>
                <w:color w:val="auto"/>
              </w:rPr>
              <w:t>Accounts receivable — net of allowance for doubtful accounts of $577 and $617</w:t>
            </w: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6"/>
        </w:trPr>
        <w:tc>
          <w:tcPr>
            <w:tcW w:w="7700" w:type="dxa"/>
            <w:vAlign w:val="bottom"/>
            <w:gridSpan w:val="2"/>
            <w:shd w:val="clear" w:color="auto" w:fill="CFF0FC"/>
          </w:tcPr>
          <w:p>
            <w:pPr>
              <w:ind w:left="320"/>
              <w:spacing w:after="0"/>
              <w:rPr>
                <w:sz w:val="20"/>
                <w:szCs w:val="20"/>
                <w:color w:val="auto"/>
              </w:rPr>
            </w:pPr>
            <w:r>
              <w:rPr>
                <w:rFonts w:ascii="Arial" w:cs="Arial" w:eastAsia="Arial" w:hAnsi="Arial"/>
                <w:sz w:val="15"/>
                <w:szCs w:val="15"/>
                <w:color w:val="auto"/>
              </w:rPr>
              <w:t>at March 31, 2018 and December 31, 2017, respectively</w:t>
            </w: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54,208</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60,676</w:t>
            </w:r>
          </w:p>
        </w:tc>
        <w:tc>
          <w:tcPr>
            <w:tcW w:w="120" w:type="dxa"/>
            <w:vAlign w:val="bottom"/>
            <w:shd w:val="clear" w:color="auto" w:fill="CFF0FC"/>
          </w:tcPr>
          <w:p>
            <w:pPr>
              <w:spacing w:after="0"/>
              <w:rPr>
                <w:sz w:val="16"/>
                <w:szCs w:val="16"/>
                <w:color w:val="auto"/>
              </w:rPr>
            </w:pPr>
          </w:p>
        </w:tc>
      </w:tr>
      <w:tr>
        <w:trPr>
          <w:trHeight w:val="186"/>
        </w:trPr>
        <w:tc>
          <w:tcPr>
            <w:tcW w:w="7700" w:type="dxa"/>
            <w:vAlign w:val="bottom"/>
            <w:gridSpan w:val="2"/>
          </w:tcPr>
          <w:p>
            <w:pPr>
              <w:ind w:left="200"/>
              <w:spacing w:after="0"/>
              <w:rPr>
                <w:sz w:val="20"/>
                <w:szCs w:val="20"/>
                <w:color w:val="auto"/>
              </w:rPr>
            </w:pPr>
            <w:r>
              <w:rPr>
                <w:rFonts w:ascii="Arial" w:cs="Arial" w:eastAsia="Arial" w:hAnsi="Arial"/>
                <w:sz w:val="15"/>
                <w:szCs w:val="15"/>
                <w:color w:val="auto"/>
              </w:rPr>
              <w:t>Deferred commission expense</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12,721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13,343</w:t>
            </w:r>
          </w:p>
        </w:tc>
        <w:tc>
          <w:tcPr>
            <w:tcW w:w="120" w:type="dxa"/>
            <w:vAlign w:val="bottom"/>
          </w:tcPr>
          <w:p>
            <w:pPr>
              <w:spacing w:after="0"/>
              <w:rPr>
                <w:sz w:val="16"/>
                <w:szCs w:val="16"/>
                <w:color w:val="auto"/>
              </w:rPr>
            </w:pPr>
          </w:p>
        </w:tc>
      </w:tr>
      <w:tr>
        <w:trPr>
          <w:trHeight w:val="186"/>
        </w:trPr>
        <w:tc>
          <w:tcPr>
            <w:tcW w:w="7700" w:type="dxa"/>
            <w:vAlign w:val="bottom"/>
            <w:gridSpan w:val="2"/>
            <w:shd w:val="clear" w:color="auto" w:fill="CFF0FC"/>
          </w:tcPr>
          <w:p>
            <w:pPr>
              <w:ind w:left="200"/>
              <w:spacing w:after="0"/>
              <w:rPr>
                <w:sz w:val="20"/>
                <w:szCs w:val="20"/>
                <w:color w:val="auto"/>
              </w:rPr>
            </w:pPr>
            <w:r>
              <w:rPr>
                <w:rFonts w:ascii="Arial" w:cs="Arial" w:eastAsia="Arial" w:hAnsi="Arial"/>
                <w:sz w:val="15"/>
                <w:szCs w:val="15"/>
                <w:color w:val="auto"/>
              </w:rPr>
              <w:t>Restricted cash</w:t>
            </w: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5,968</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4,757</w:t>
            </w:r>
          </w:p>
        </w:tc>
        <w:tc>
          <w:tcPr>
            <w:tcW w:w="120" w:type="dxa"/>
            <w:vAlign w:val="bottom"/>
            <w:shd w:val="clear" w:color="auto" w:fill="CFF0FC"/>
          </w:tcPr>
          <w:p>
            <w:pPr>
              <w:spacing w:after="0"/>
              <w:rPr>
                <w:sz w:val="16"/>
                <w:szCs w:val="16"/>
                <w:color w:val="auto"/>
              </w:rPr>
            </w:pPr>
          </w:p>
        </w:tc>
      </w:tr>
      <w:tr>
        <w:trPr>
          <w:trHeight w:val="186"/>
        </w:trPr>
        <w:tc>
          <w:tcPr>
            <w:tcW w:w="7700" w:type="dxa"/>
            <w:vAlign w:val="bottom"/>
            <w:gridSpan w:val="2"/>
          </w:tcPr>
          <w:p>
            <w:pPr>
              <w:ind w:left="200"/>
              <w:spacing w:after="0"/>
              <w:rPr>
                <w:sz w:val="20"/>
                <w:szCs w:val="20"/>
                <w:color w:val="auto"/>
              </w:rPr>
            </w:pPr>
            <w:r>
              <w:rPr>
                <w:rFonts w:ascii="Arial" w:cs="Arial" w:eastAsia="Arial" w:hAnsi="Arial"/>
                <w:sz w:val="15"/>
                <w:szCs w:val="15"/>
                <w:color w:val="auto"/>
              </w:rPr>
              <w:t>Prepaid hosting costs</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1,648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4,964</w:t>
            </w:r>
          </w:p>
        </w:tc>
        <w:tc>
          <w:tcPr>
            <w:tcW w:w="120" w:type="dxa"/>
            <w:vAlign w:val="bottom"/>
          </w:tcPr>
          <w:p>
            <w:pPr>
              <w:spacing w:after="0"/>
              <w:rPr>
                <w:sz w:val="16"/>
                <w:szCs w:val="16"/>
                <w:color w:val="auto"/>
              </w:rPr>
            </w:pPr>
          </w:p>
        </w:tc>
      </w:tr>
      <w:tr>
        <w:trPr>
          <w:trHeight w:val="186"/>
        </w:trPr>
        <w:tc>
          <w:tcPr>
            <w:tcW w:w="7700" w:type="dxa"/>
            <w:vAlign w:val="bottom"/>
            <w:gridSpan w:val="2"/>
            <w:shd w:val="clear" w:color="auto" w:fill="CFF0FC"/>
          </w:tcPr>
          <w:p>
            <w:pPr>
              <w:ind w:left="200"/>
              <w:spacing w:after="0"/>
              <w:rPr>
                <w:sz w:val="20"/>
                <w:szCs w:val="20"/>
                <w:color w:val="auto"/>
              </w:rPr>
            </w:pPr>
            <w:r>
              <w:rPr>
                <w:rFonts w:ascii="Arial" w:cs="Arial" w:eastAsia="Arial" w:hAnsi="Arial"/>
                <w:sz w:val="15"/>
                <w:szCs w:val="15"/>
                <w:color w:val="auto"/>
              </w:rPr>
              <w:t>Prepaid expenses and other current assets</w:t>
            </w:r>
          </w:p>
        </w:tc>
        <w:tc>
          <w:tcPr>
            <w:tcW w:w="180" w:type="dxa"/>
            <w:vAlign w:val="bottom"/>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15,588</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14,418</w:t>
            </w:r>
          </w:p>
        </w:tc>
        <w:tc>
          <w:tcPr>
            <w:tcW w:w="120" w:type="dxa"/>
            <w:vAlign w:val="bottom"/>
            <w:shd w:val="clear" w:color="auto" w:fill="CFF0FC"/>
          </w:tcPr>
          <w:p>
            <w:pPr>
              <w:spacing w:after="0"/>
              <w:rPr>
                <w:sz w:val="16"/>
                <w:szCs w:val="16"/>
                <w:color w:val="auto"/>
              </w:rPr>
            </w:pPr>
          </w:p>
        </w:tc>
      </w:tr>
      <w:tr>
        <w:trPr>
          <w:trHeight w:val="177"/>
        </w:trPr>
        <w:tc>
          <w:tcPr>
            <w:tcW w:w="7700" w:type="dxa"/>
            <w:vAlign w:val="bottom"/>
            <w:gridSpan w:val="2"/>
          </w:tcPr>
          <w:p>
            <w:pPr>
              <w:spacing w:after="0"/>
              <w:rPr>
                <w:sz w:val="20"/>
                <w:szCs w:val="20"/>
                <w:color w:val="auto"/>
              </w:rPr>
            </w:pPr>
            <w:r>
              <w:rPr>
                <w:rFonts w:ascii="Arial" w:cs="Arial" w:eastAsia="Arial" w:hAnsi="Arial"/>
                <w:sz w:val="15"/>
                <w:szCs w:val="15"/>
                <w:color w:val="auto"/>
              </w:rPr>
              <w:t>Total current assets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w w:val="95"/>
              </w:rPr>
              <w:t>619,543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602,501</w:t>
            </w:r>
          </w:p>
        </w:tc>
        <w:tc>
          <w:tcPr>
            <w:tcW w:w="120" w:type="dxa"/>
            <w:vAlign w:val="bottom"/>
          </w:tcPr>
          <w:p>
            <w:pPr>
              <w:spacing w:after="0"/>
              <w:rPr>
                <w:sz w:val="15"/>
                <w:szCs w:val="15"/>
                <w:color w:val="auto"/>
              </w:rPr>
            </w:pPr>
          </w:p>
        </w:tc>
      </w:tr>
      <w:tr>
        <w:trPr>
          <w:trHeight w:val="186"/>
        </w:trPr>
        <w:tc>
          <w:tcPr>
            <w:tcW w:w="770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Long-term investments</w:t>
            </w: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28,100</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31,394</w:t>
            </w:r>
          </w:p>
        </w:tc>
        <w:tc>
          <w:tcPr>
            <w:tcW w:w="120" w:type="dxa"/>
            <w:vAlign w:val="bottom"/>
            <w:shd w:val="clear" w:color="auto" w:fill="CFF0FC"/>
          </w:tcPr>
          <w:p>
            <w:pPr>
              <w:spacing w:after="0"/>
              <w:rPr>
                <w:sz w:val="16"/>
                <w:szCs w:val="16"/>
                <w:color w:val="auto"/>
              </w:rPr>
            </w:pPr>
          </w:p>
        </w:tc>
      </w:tr>
      <w:tr>
        <w:trPr>
          <w:trHeight w:val="186"/>
        </w:trPr>
        <w:tc>
          <w:tcPr>
            <w:tcW w:w="7700" w:type="dxa"/>
            <w:vAlign w:val="bottom"/>
            <w:gridSpan w:val="2"/>
          </w:tcPr>
          <w:p>
            <w:pPr>
              <w:spacing w:after="0"/>
              <w:rPr>
                <w:sz w:val="20"/>
                <w:szCs w:val="20"/>
                <w:color w:val="auto"/>
              </w:rPr>
            </w:pPr>
            <w:r>
              <w:rPr>
                <w:rFonts w:ascii="Arial" w:cs="Arial" w:eastAsia="Arial" w:hAnsi="Arial"/>
                <w:sz w:val="15"/>
                <w:szCs w:val="15"/>
                <w:color w:val="auto"/>
              </w:rPr>
              <w:t>Property and equipment, net</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47,734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43,294</w:t>
            </w:r>
          </w:p>
        </w:tc>
        <w:tc>
          <w:tcPr>
            <w:tcW w:w="120" w:type="dxa"/>
            <w:vAlign w:val="bottom"/>
          </w:tcPr>
          <w:p>
            <w:pPr>
              <w:spacing w:after="0"/>
              <w:rPr>
                <w:sz w:val="16"/>
                <w:szCs w:val="16"/>
                <w:color w:val="auto"/>
              </w:rPr>
            </w:pPr>
          </w:p>
        </w:tc>
      </w:tr>
      <w:tr>
        <w:trPr>
          <w:trHeight w:val="186"/>
        </w:trPr>
        <w:tc>
          <w:tcPr>
            <w:tcW w:w="770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Capitalized software development costs, net</w:t>
            </w: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9,885</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8,760</w:t>
            </w:r>
          </w:p>
        </w:tc>
        <w:tc>
          <w:tcPr>
            <w:tcW w:w="120" w:type="dxa"/>
            <w:vAlign w:val="bottom"/>
            <w:shd w:val="clear" w:color="auto" w:fill="CFF0FC"/>
          </w:tcPr>
          <w:p>
            <w:pPr>
              <w:spacing w:after="0"/>
              <w:rPr>
                <w:sz w:val="16"/>
                <w:szCs w:val="16"/>
                <w:color w:val="auto"/>
              </w:rPr>
            </w:pPr>
          </w:p>
        </w:tc>
      </w:tr>
      <w:tr>
        <w:trPr>
          <w:trHeight w:val="186"/>
        </w:trPr>
        <w:tc>
          <w:tcPr>
            <w:tcW w:w="7700" w:type="dxa"/>
            <w:vAlign w:val="bottom"/>
            <w:gridSpan w:val="2"/>
          </w:tcPr>
          <w:p>
            <w:pPr>
              <w:spacing w:after="0"/>
              <w:rPr>
                <w:sz w:val="20"/>
                <w:szCs w:val="20"/>
                <w:color w:val="auto"/>
              </w:rPr>
            </w:pPr>
            <w:r>
              <w:rPr>
                <w:rFonts w:ascii="Arial" w:cs="Arial" w:eastAsia="Arial" w:hAnsi="Arial"/>
                <w:sz w:val="15"/>
                <w:szCs w:val="15"/>
                <w:color w:val="auto"/>
              </w:rPr>
              <w:t>Deferred commission expense, net of current portion</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11,228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6"/>
        </w:trPr>
        <w:tc>
          <w:tcPr>
            <w:tcW w:w="960" w:type="dxa"/>
            <w:vAlign w:val="bottom"/>
            <w:shd w:val="clear" w:color="auto" w:fill="CFF0FC"/>
          </w:tcPr>
          <w:p>
            <w:pPr>
              <w:spacing w:after="0"/>
              <w:rPr>
                <w:sz w:val="20"/>
                <w:szCs w:val="20"/>
                <w:color w:val="auto"/>
              </w:rPr>
            </w:pPr>
            <w:r>
              <w:rPr>
                <w:rFonts w:ascii="Arial" w:cs="Arial" w:eastAsia="Arial" w:hAnsi="Arial"/>
                <w:sz w:val="15"/>
                <w:szCs w:val="15"/>
                <w:color w:val="auto"/>
              </w:rPr>
              <w:t>Other assets</w:t>
            </w:r>
          </w:p>
        </w:tc>
        <w:tc>
          <w:tcPr>
            <w:tcW w:w="67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5,273</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4,964</w:t>
            </w:r>
          </w:p>
        </w:tc>
        <w:tc>
          <w:tcPr>
            <w:tcW w:w="120" w:type="dxa"/>
            <w:vAlign w:val="bottom"/>
            <w:shd w:val="clear" w:color="auto" w:fill="CFF0FC"/>
          </w:tcPr>
          <w:p>
            <w:pPr>
              <w:spacing w:after="0"/>
              <w:rPr>
                <w:sz w:val="16"/>
                <w:szCs w:val="16"/>
                <w:color w:val="auto"/>
              </w:rPr>
            </w:pPr>
          </w:p>
        </w:tc>
      </w:tr>
      <w:tr>
        <w:trPr>
          <w:trHeight w:val="186"/>
        </w:trPr>
        <w:tc>
          <w:tcPr>
            <w:tcW w:w="7700" w:type="dxa"/>
            <w:vAlign w:val="bottom"/>
            <w:gridSpan w:val="2"/>
          </w:tcPr>
          <w:p>
            <w:pPr>
              <w:spacing w:after="0"/>
              <w:rPr>
                <w:sz w:val="20"/>
                <w:szCs w:val="20"/>
                <w:color w:val="auto"/>
              </w:rPr>
            </w:pPr>
            <w:r>
              <w:rPr>
                <w:rFonts w:ascii="Arial" w:cs="Arial" w:eastAsia="Arial" w:hAnsi="Arial"/>
                <w:sz w:val="15"/>
                <w:szCs w:val="15"/>
                <w:color w:val="auto"/>
              </w:rPr>
              <w:t>Intangible assets, net</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6,262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6,312</w:t>
            </w:r>
          </w:p>
        </w:tc>
        <w:tc>
          <w:tcPr>
            <w:tcW w:w="120" w:type="dxa"/>
            <w:vAlign w:val="bottom"/>
          </w:tcPr>
          <w:p>
            <w:pPr>
              <w:spacing w:after="0"/>
              <w:rPr>
                <w:sz w:val="16"/>
                <w:szCs w:val="16"/>
                <w:color w:val="auto"/>
              </w:rPr>
            </w:pPr>
          </w:p>
        </w:tc>
      </w:tr>
      <w:tr>
        <w:trPr>
          <w:trHeight w:val="186"/>
        </w:trPr>
        <w:tc>
          <w:tcPr>
            <w:tcW w:w="960" w:type="dxa"/>
            <w:vAlign w:val="bottom"/>
            <w:shd w:val="clear" w:color="auto" w:fill="CFF0FC"/>
          </w:tcPr>
          <w:p>
            <w:pPr>
              <w:spacing w:after="0"/>
              <w:rPr>
                <w:sz w:val="20"/>
                <w:szCs w:val="20"/>
                <w:color w:val="auto"/>
              </w:rPr>
            </w:pPr>
            <w:r>
              <w:rPr>
                <w:rFonts w:ascii="Arial" w:cs="Arial" w:eastAsia="Arial" w:hAnsi="Arial"/>
                <w:sz w:val="15"/>
                <w:szCs w:val="15"/>
                <w:color w:val="auto"/>
              </w:rPr>
              <w:t>Goodwill</w:t>
            </w:r>
          </w:p>
        </w:tc>
        <w:tc>
          <w:tcPr>
            <w:tcW w:w="67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14,950</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14,950</w:t>
            </w:r>
          </w:p>
        </w:tc>
        <w:tc>
          <w:tcPr>
            <w:tcW w:w="120" w:type="dxa"/>
            <w:vAlign w:val="bottom"/>
            <w:shd w:val="clear" w:color="auto" w:fill="CFF0FC"/>
          </w:tcPr>
          <w:p>
            <w:pPr>
              <w:spacing w:after="0"/>
              <w:rPr>
                <w:sz w:val="16"/>
                <w:szCs w:val="16"/>
                <w:color w:val="auto"/>
              </w:rPr>
            </w:pPr>
          </w:p>
        </w:tc>
      </w:tr>
      <w:tr>
        <w:trPr>
          <w:trHeight w:val="217"/>
        </w:trPr>
        <w:tc>
          <w:tcPr>
            <w:tcW w:w="960" w:type="dxa"/>
            <w:vAlign w:val="bottom"/>
          </w:tcPr>
          <w:p>
            <w:pPr>
              <w:spacing w:after="0"/>
              <w:rPr>
                <w:sz w:val="20"/>
                <w:szCs w:val="20"/>
                <w:color w:val="auto"/>
              </w:rPr>
            </w:pPr>
            <w:r>
              <w:rPr>
                <w:rFonts w:ascii="Arial" w:cs="Arial" w:eastAsia="Arial" w:hAnsi="Arial"/>
                <w:sz w:val="15"/>
                <w:szCs w:val="15"/>
                <w:b w:val="1"/>
                <w:bCs w:val="1"/>
                <w:color w:val="auto"/>
              </w:rPr>
              <w:t>Total assets</w:t>
            </w:r>
          </w:p>
        </w:tc>
        <w:tc>
          <w:tcPr>
            <w:tcW w:w="6740" w:type="dxa"/>
            <w:vAlign w:val="bottom"/>
          </w:tcPr>
          <w:p>
            <w:pPr>
              <w:spacing w:after="0"/>
              <w:rPr>
                <w:sz w:val="18"/>
                <w:szCs w:val="18"/>
                <w:color w:val="auto"/>
              </w:rPr>
            </w:pPr>
          </w:p>
        </w:tc>
        <w:tc>
          <w:tcPr>
            <w:tcW w:w="1220" w:type="dxa"/>
            <w:vAlign w:val="bottom"/>
            <w:gridSpan w:val="2"/>
          </w:tcPr>
          <w:p>
            <w:pPr>
              <w:jc w:val="right"/>
              <w:ind w:right="902"/>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w w:val="95"/>
              </w:rPr>
              <w:t>742,975</w:t>
            </w:r>
          </w:p>
        </w:tc>
        <w:tc>
          <w:tcPr>
            <w:tcW w:w="12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712,175</w:t>
            </w:r>
          </w:p>
        </w:tc>
        <w:tc>
          <w:tcPr>
            <w:tcW w:w="120" w:type="dxa"/>
            <w:vAlign w:val="bottom"/>
          </w:tcPr>
          <w:p>
            <w:pPr>
              <w:spacing w:after="0"/>
              <w:rPr>
                <w:sz w:val="18"/>
                <w:szCs w:val="18"/>
                <w:color w:val="auto"/>
              </w:rPr>
            </w:pPr>
          </w:p>
        </w:tc>
      </w:tr>
      <w:tr>
        <w:trPr>
          <w:trHeight w:val="159"/>
        </w:trPr>
        <w:tc>
          <w:tcPr>
            <w:tcW w:w="7700" w:type="dxa"/>
            <w:vAlign w:val="bottom"/>
            <w:tcBorders>
              <w:top w:val="single" w:sz="8" w:color="CFF0FC"/>
            </w:tcBorders>
            <w:gridSpan w:val="2"/>
            <w:shd w:val="clear" w:color="auto" w:fill="CFF0FC"/>
          </w:tcPr>
          <w:p>
            <w:pPr>
              <w:spacing w:after="0" w:line="159" w:lineRule="exact"/>
              <w:rPr>
                <w:sz w:val="20"/>
                <w:szCs w:val="20"/>
                <w:color w:val="auto"/>
              </w:rPr>
            </w:pPr>
            <w:r>
              <w:rPr>
                <w:rFonts w:ascii="Arial" w:cs="Arial" w:eastAsia="Arial" w:hAnsi="Arial"/>
                <w:sz w:val="15"/>
                <w:szCs w:val="15"/>
                <w:b w:val="1"/>
                <w:bCs w:val="1"/>
                <w:color w:val="auto"/>
              </w:rPr>
              <w:t>Liabilities and stockholders’ equity</w:t>
            </w:r>
          </w:p>
        </w:tc>
        <w:tc>
          <w:tcPr>
            <w:tcW w:w="180" w:type="dxa"/>
            <w:vAlign w:val="bottom"/>
            <w:tcBorders>
              <w:top w:val="single" w:sz="8" w:color="CFF0FC"/>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3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r>
      <w:tr>
        <w:trPr>
          <w:trHeight w:val="186"/>
        </w:trPr>
        <w:tc>
          <w:tcPr>
            <w:tcW w:w="7700" w:type="dxa"/>
            <w:vAlign w:val="bottom"/>
            <w:gridSpan w:val="2"/>
          </w:tcPr>
          <w:p>
            <w:pPr>
              <w:spacing w:after="0"/>
              <w:rPr>
                <w:sz w:val="20"/>
                <w:szCs w:val="20"/>
                <w:color w:val="auto"/>
              </w:rPr>
            </w:pPr>
            <w:r>
              <w:rPr>
                <w:rFonts w:ascii="Arial" w:cs="Arial" w:eastAsia="Arial" w:hAnsi="Arial"/>
                <w:sz w:val="15"/>
                <w:szCs w:val="15"/>
                <w:color w:val="auto"/>
              </w:rPr>
              <w:t>Current liabilities:</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6"/>
        </w:trPr>
        <w:tc>
          <w:tcPr>
            <w:tcW w:w="7700" w:type="dxa"/>
            <w:vAlign w:val="bottom"/>
            <w:gridSpan w:val="2"/>
            <w:shd w:val="clear" w:color="auto" w:fill="CFF0FC"/>
          </w:tcPr>
          <w:p>
            <w:pPr>
              <w:ind w:left="200"/>
              <w:spacing w:after="0"/>
              <w:rPr>
                <w:sz w:val="20"/>
                <w:szCs w:val="20"/>
                <w:color w:val="auto"/>
              </w:rPr>
            </w:pPr>
            <w:r>
              <w:rPr>
                <w:rFonts w:ascii="Arial" w:cs="Arial" w:eastAsia="Arial" w:hAnsi="Arial"/>
                <w:sz w:val="15"/>
                <w:szCs w:val="15"/>
                <w:color w:val="auto"/>
              </w:rPr>
              <w:t>Accounts payable</w:t>
            </w:r>
          </w:p>
        </w:tc>
        <w:tc>
          <w:tcPr>
            <w:tcW w:w="1220" w:type="dxa"/>
            <w:vAlign w:val="bottom"/>
            <w:gridSpan w:val="2"/>
            <w:shd w:val="clear" w:color="auto" w:fill="CFF0FC"/>
          </w:tcPr>
          <w:p>
            <w:pPr>
              <w:jc w:val="right"/>
              <w:ind w:right="902"/>
              <w:spacing w:after="0"/>
              <w:rPr>
                <w:sz w:val="20"/>
                <w:szCs w:val="20"/>
                <w:color w:val="auto"/>
              </w:rPr>
            </w:pPr>
            <w:r>
              <w:rPr>
                <w:rFonts w:ascii="Arial" w:cs="Arial" w:eastAsia="Arial" w:hAnsi="Arial"/>
                <w:sz w:val="15"/>
                <w:szCs w:val="15"/>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5,194</w:t>
            </w:r>
          </w:p>
        </w:tc>
        <w:tc>
          <w:tcPr>
            <w:tcW w:w="120" w:type="dxa"/>
            <w:vAlign w:val="bottom"/>
            <w:shd w:val="clear" w:color="auto" w:fill="CFF0FC"/>
          </w:tcPr>
          <w:p>
            <w:pPr>
              <w:spacing w:after="0"/>
              <w:rPr>
                <w:sz w:val="16"/>
                <w:szCs w:val="16"/>
                <w:color w:val="auto"/>
              </w:rPr>
            </w:pP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4,657</w:t>
            </w:r>
          </w:p>
        </w:tc>
        <w:tc>
          <w:tcPr>
            <w:tcW w:w="120" w:type="dxa"/>
            <w:vAlign w:val="bottom"/>
            <w:shd w:val="clear" w:color="auto" w:fill="CFF0FC"/>
          </w:tcPr>
          <w:p>
            <w:pPr>
              <w:spacing w:after="0"/>
              <w:rPr>
                <w:sz w:val="16"/>
                <w:szCs w:val="16"/>
                <w:color w:val="auto"/>
              </w:rPr>
            </w:pPr>
          </w:p>
        </w:tc>
      </w:tr>
      <w:tr>
        <w:trPr>
          <w:trHeight w:val="186"/>
        </w:trPr>
        <w:tc>
          <w:tcPr>
            <w:tcW w:w="7700" w:type="dxa"/>
            <w:vAlign w:val="bottom"/>
            <w:gridSpan w:val="2"/>
          </w:tcPr>
          <w:p>
            <w:pPr>
              <w:ind w:left="200"/>
              <w:spacing w:after="0"/>
              <w:rPr>
                <w:sz w:val="20"/>
                <w:szCs w:val="20"/>
                <w:color w:val="auto"/>
              </w:rPr>
            </w:pPr>
            <w:r>
              <w:rPr>
                <w:rFonts w:ascii="Arial" w:cs="Arial" w:eastAsia="Arial" w:hAnsi="Arial"/>
                <w:sz w:val="15"/>
                <w:szCs w:val="15"/>
                <w:color w:val="auto"/>
              </w:rPr>
              <w:t>Accrued compensation costs</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14,680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16,329</w:t>
            </w:r>
          </w:p>
        </w:tc>
        <w:tc>
          <w:tcPr>
            <w:tcW w:w="120" w:type="dxa"/>
            <w:vAlign w:val="bottom"/>
          </w:tcPr>
          <w:p>
            <w:pPr>
              <w:spacing w:after="0"/>
              <w:rPr>
                <w:sz w:val="16"/>
                <w:szCs w:val="16"/>
                <w:color w:val="auto"/>
              </w:rPr>
            </w:pPr>
          </w:p>
        </w:tc>
      </w:tr>
      <w:tr>
        <w:trPr>
          <w:trHeight w:val="186"/>
        </w:trPr>
        <w:tc>
          <w:tcPr>
            <w:tcW w:w="7700" w:type="dxa"/>
            <w:vAlign w:val="bottom"/>
            <w:gridSpan w:val="2"/>
            <w:shd w:val="clear" w:color="auto" w:fill="CFF0FC"/>
          </w:tcPr>
          <w:p>
            <w:pPr>
              <w:ind w:left="200"/>
              <w:spacing w:after="0"/>
              <w:rPr>
                <w:sz w:val="20"/>
                <w:szCs w:val="20"/>
                <w:color w:val="auto"/>
              </w:rPr>
            </w:pPr>
            <w:r>
              <w:rPr>
                <w:rFonts w:ascii="Arial" w:cs="Arial" w:eastAsia="Arial" w:hAnsi="Arial"/>
                <w:sz w:val="15"/>
                <w:szCs w:val="15"/>
                <w:color w:val="auto"/>
              </w:rPr>
              <w:t>Other accrued expenses</w:t>
            </w: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23,996</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20,430</w:t>
            </w:r>
          </w:p>
        </w:tc>
        <w:tc>
          <w:tcPr>
            <w:tcW w:w="120" w:type="dxa"/>
            <w:vAlign w:val="bottom"/>
            <w:shd w:val="clear" w:color="auto" w:fill="CFF0FC"/>
          </w:tcPr>
          <w:p>
            <w:pPr>
              <w:spacing w:after="0"/>
              <w:rPr>
                <w:sz w:val="16"/>
                <w:szCs w:val="16"/>
                <w:color w:val="auto"/>
              </w:rPr>
            </w:pPr>
          </w:p>
        </w:tc>
      </w:tr>
      <w:tr>
        <w:trPr>
          <w:trHeight w:val="186"/>
        </w:trPr>
        <w:tc>
          <w:tcPr>
            <w:tcW w:w="7700" w:type="dxa"/>
            <w:vAlign w:val="bottom"/>
            <w:tcBorders>
              <w:bottom w:val="single" w:sz="8" w:color="CFF0FC"/>
            </w:tcBorders>
            <w:gridSpan w:val="2"/>
          </w:tcPr>
          <w:p>
            <w:pPr>
              <w:ind w:left="200"/>
              <w:spacing w:after="0"/>
              <w:rPr>
                <w:sz w:val="20"/>
                <w:szCs w:val="20"/>
                <w:color w:val="auto"/>
              </w:rPr>
            </w:pPr>
            <w:r>
              <w:rPr>
                <w:rFonts w:ascii="Arial" w:cs="Arial" w:eastAsia="Arial" w:hAnsi="Arial"/>
                <w:sz w:val="15"/>
                <w:szCs w:val="15"/>
                <w:color w:val="auto"/>
              </w:rPr>
              <w:t>Deferred revenue</w:t>
            </w:r>
          </w:p>
        </w:tc>
        <w:tc>
          <w:tcPr>
            <w:tcW w:w="180" w:type="dxa"/>
            <w:vAlign w:val="bottom"/>
            <w:tcBorders>
              <w:bottom w:val="single" w:sz="8" w:color="CFF0FC"/>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148,500</w:t>
            </w:r>
          </w:p>
        </w:tc>
        <w:tc>
          <w:tcPr>
            <w:tcW w:w="120" w:type="dxa"/>
            <w:vAlign w:val="bottom"/>
            <w:tcBorders>
              <w:bottom w:val="single" w:sz="8" w:color="CFF0FC"/>
            </w:tcBorders>
          </w:tcPr>
          <w:p>
            <w:pPr>
              <w:spacing w:after="0"/>
              <w:rPr>
                <w:sz w:val="16"/>
                <w:szCs w:val="16"/>
                <w:color w:val="auto"/>
              </w:rPr>
            </w:pPr>
          </w:p>
        </w:tc>
        <w:tc>
          <w:tcPr>
            <w:tcW w:w="16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136,880</w:t>
            </w:r>
          </w:p>
        </w:tc>
        <w:tc>
          <w:tcPr>
            <w:tcW w:w="120" w:type="dxa"/>
            <w:vAlign w:val="bottom"/>
            <w:tcBorders>
              <w:bottom w:val="single" w:sz="8" w:color="CFF0FC"/>
            </w:tcBorders>
          </w:tcPr>
          <w:p>
            <w:pPr>
              <w:spacing w:after="0"/>
              <w:rPr>
                <w:sz w:val="16"/>
                <w:szCs w:val="16"/>
                <w:color w:val="auto"/>
              </w:rPr>
            </w:pPr>
          </w:p>
        </w:tc>
      </w:tr>
      <w:tr>
        <w:trPr>
          <w:trHeight w:val="177"/>
        </w:trPr>
        <w:tc>
          <w:tcPr>
            <w:tcW w:w="770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Total current liabilities</w:t>
            </w: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192,370</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178,296</w:t>
            </w:r>
          </w:p>
        </w:tc>
        <w:tc>
          <w:tcPr>
            <w:tcW w:w="120" w:type="dxa"/>
            <w:vAlign w:val="bottom"/>
            <w:shd w:val="clear" w:color="auto" w:fill="CFF0FC"/>
          </w:tcPr>
          <w:p>
            <w:pPr>
              <w:spacing w:after="0"/>
              <w:rPr>
                <w:sz w:val="15"/>
                <w:szCs w:val="15"/>
                <w:color w:val="auto"/>
              </w:rPr>
            </w:pPr>
          </w:p>
        </w:tc>
      </w:tr>
      <w:tr>
        <w:trPr>
          <w:trHeight w:val="186"/>
        </w:trPr>
        <w:tc>
          <w:tcPr>
            <w:tcW w:w="7700" w:type="dxa"/>
            <w:vAlign w:val="bottom"/>
            <w:gridSpan w:val="2"/>
          </w:tcPr>
          <w:p>
            <w:pPr>
              <w:spacing w:after="0"/>
              <w:rPr>
                <w:sz w:val="20"/>
                <w:szCs w:val="20"/>
                <w:color w:val="auto"/>
              </w:rPr>
            </w:pPr>
            <w:r>
              <w:rPr>
                <w:rFonts w:ascii="Arial" w:cs="Arial" w:eastAsia="Arial" w:hAnsi="Arial"/>
                <w:sz w:val="15"/>
                <w:szCs w:val="15"/>
                <w:color w:val="auto"/>
              </w:rPr>
              <w:t>Deferred rent, net of current portion</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19,646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18,868</w:t>
            </w:r>
          </w:p>
        </w:tc>
        <w:tc>
          <w:tcPr>
            <w:tcW w:w="120" w:type="dxa"/>
            <w:vAlign w:val="bottom"/>
          </w:tcPr>
          <w:p>
            <w:pPr>
              <w:spacing w:after="0"/>
              <w:rPr>
                <w:sz w:val="16"/>
                <w:szCs w:val="16"/>
                <w:color w:val="auto"/>
              </w:rPr>
            </w:pPr>
          </w:p>
        </w:tc>
      </w:tr>
      <w:tr>
        <w:trPr>
          <w:trHeight w:val="186"/>
        </w:trPr>
        <w:tc>
          <w:tcPr>
            <w:tcW w:w="770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Deferred revenue, net of current portion</w:t>
            </w: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2,284</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2,277</w:t>
            </w:r>
          </w:p>
        </w:tc>
        <w:tc>
          <w:tcPr>
            <w:tcW w:w="120" w:type="dxa"/>
            <w:vAlign w:val="bottom"/>
            <w:shd w:val="clear" w:color="auto" w:fill="CFF0FC"/>
          </w:tcPr>
          <w:p>
            <w:pPr>
              <w:spacing w:after="0"/>
              <w:rPr>
                <w:sz w:val="16"/>
                <w:szCs w:val="16"/>
                <w:color w:val="auto"/>
              </w:rPr>
            </w:pPr>
          </w:p>
        </w:tc>
      </w:tr>
      <w:tr>
        <w:trPr>
          <w:trHeight w:val="186"/>
        </w:trPr>
        <w:tc>
          <w:tcPr>
            <w:tcW w:w="7700" w:type="dxa"/>
            <w:vAlign w:val="bottom"/>
            <w:gridSpan w:val="2"/>
          </w:tcPr>
          <w:p>
            <w:pPr>
              <w:spacing w:after="0"/>
              <w:rPr>
                <w:sz w:val="20"/>
                <w:szCs w:val="20"/>
                <w:color w:val="auto"/>
              </w:rPr>
            </w:pPr>
            <w:r>
              <w:rPr>
                <w:rFonts w:ascii="Arial" w:cs="Arial" w:eastAsia="Arial" w:hAnsi="Arial"/>
                <w:sz w:val="15"/>
                <w:szCs w:val="15"/>
                <w:color w:val="auto"/>
              </w:rPr>
              <w:t>Other long-term liabilities</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4,222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3,927</w:t>
            </w:r>
          </w:p>
        </w:tc>
        <w:tc>
          <w:tcPr>
            <w:tcW w:w="120" w:type="dxa"/>
            <w:vAlign w:val="bottom"/>
          </w:tcPr>
          <w:p>
            <w:pPr>
              <w:spacing w:after="0"/>
              <w:rPr>
                <w:sz w:val="16"/>
                <w:szCs w:val="16"/>
                <w:color w:val="auto"/>
              </w:rPr>
            </w:pPr>
          </w:p>
        </w:tc>
      </w:tr>
      <w:tr>
        <w:trPr>
          <w:trHeight w:val="197"/>
        </w:trPr>
        <w:tc>
          <w:tcPr>
            <w:tcW w:w="770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Convertible senior notes</w:t>
            </w:r>
          </w:p>
        </w:tc>
        <w:tc>
          <w:tcPr>
            <w:tcW w:w="180" w:type="dxa"/>
            <w:vAlign w:val="bottom"/>
          </w:tcPr>
          <w:p>
            <w:pPr>
              <w:spacing w:after="0"/>
              <w:rPr>
                <w:sz w:val="17"/>
                <w:szCs w:val="17"/>
                <w:color w:val="auto"/>
              </w:rPr>
            </w:pPr>
          </w:p>
        </w:tc>
        <w:tc>
          <w:tcPr>
            <w:tcW w:w="104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5"/>
              </w:rPr>
              <w:t>303,355</w:t>
            </w:r>
          </w:p>
        </w:tc>
        <w:tc>
          <w:tcPr>
            <w:tcW w:w="120" w:type="dxa"/>
            <w:vAlign w:val="bottom"/>
            <w:shd w:val="clear" w:color="auto" w:fill="CFF0FC"/>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298,447</w:t>
            </w:r>
          </w:p>
        </w:tc>
        <w:tc>
          <w:tcPr>
            <w:tcW w:w="120" w:type="dxa"/>
            <w:vAlign w:val="bottom"/>
            <w:shd w:val="clear" w:color="auto" w:fill="CFF0FC"/>
          </w:tcPr>
          <w:p>
            <w:pPr>
              <w:spacing w:after="0"/>
              <w:rPr>
                <w:sz w:val="17"/>
                <w:szCs w:val="17"/>
                <w:color w:val="auto"/>
              </w:rPr>
            </w:pPr>
          </w:p>
        </w:tc>
      </w:tr>
      <w:tr>
        <w:trPr>
          <w:trHeight w:val="177"/>
        </w:trPr>
        <w:tc>
          <w:tcPr>
            <w:tcW w:w="9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w w:val="99"/>
              </w:rPr>
              <w:t>Total liabilities</w:t>
            </w:r>
          </w:p>
        </w:tc>
        <w:tc>
          <w:tcPr>
            <w:tcW w:w="6740" w:type="dxa"/>
            <w:vAlign w:val="bottom"/>
            <w:tcBorders>
              <w:bottom w:val="single" w:sz="8" w:color="CFF0FC"/>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521,877</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501,815</w:t>
            </w:r>
          </w:p>
        </w:tc>
        <w:tc>
          <w:tcPr>
            <w:tcW w:w="120" w:type="dxa"/>
            <w:vAlign w:val="bottom"/>
            <w:tcBorders>
              <w:bottom w:val="single" w:sz="8" w:color="CFF0FC"/>
            </w:tcBorders>
          </w:tcPr>
          <w:p>
            <w:pPr>
              <w:spacing w:after="0"/>
              <w:rPr>
                <w:sz w:val="15"/>
                <w:szCs w:val="15"/>
                <w:color w:val="auto"/>
              </w:rPr>
            </w:pPr>
          </w:p>
        </w:tc>
      </w:tr>
      <w:tr>
        <w:trPr>
          <w:trHeight w:val="177"/>
        </w:trPr>
        <w:tc>
          <w:tcPr>
            <w:tcW w:w="770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Commitments and contingencies (Note 10)</w:t>
            </w: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6"/>
        </w:trPr>
        <w:tc>
          <w:tcPr>
            <w:tcW w:w="7700" w:type="dxa"/>
            <w:vAlign w:val="bottom"/>
            <w:gridSpan w:val="2"/>
          </w:tcPr>
          <w:p>
            <w:pPr>
              <w:spacing w:after="0"/>
              <w:rPr>
                <w:sz w:val="20"/>
                <w:szCs w:val="20"/>
                <w:color w:val="auto"/>
              </w:rPr>
            </w:pPr>
            <w:r>
              <w:rPr>
                <w:rFonts w:ascii="Arial" w:cs="Arial" w:eastAsia="Arial" w:hAnsi="Arial"/>
                <w:sz w:val="15"/>
                <w:szCs w:val="15"/>
                <w:color w:val="auto"/>
              </w:rPr>
              <w:t>Stockholders’ equity:</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6"/>
        </w:trPr>
        <w:tc>
          <w:tcPr>
            <w:tcW w:w="7700" w:type="dxa"/>
            <w:vAlign w:val="bottom"/>
            <w:gridSpan w:val="2"/>
            <w:shd w:val="clear" w:color="auto" w:fill="CFF0FC"/>
          </w:tcPr>
          <w:p>
            <w:pPr>
              <w:ind w:left="200"/>
              <w:spacing w:after="0"/>
              <w:rPr>
                <w:sz w:val="20"/>
                <w:szCs w:val="20"/>
                <w:color w:val="auto"/>
              </w:rPr>
            </w:pPr>
            <w:r>
              <w:rPr>
                <w:rFonts w:ascii="Arial" w:cs="Arial" w:eastAsia="Arial" w:hAnsi="Arial"/>
                <w:sz w:val="15"/>
                <w:szCs w:val="15"/>
                <w:color w:val="auto"/>
              </w:rPr>
              <w:t>Common stock</w:t>
            </w: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w:t>
            </w:r>
          </w:p>
        </w:tc>
        <w:tc>
          <w:tcPr>
            <w:tcW w:w="120" w:type="dxa"/>
            <w:vAlign w:val="bottom"/>
            <w:shd w:val="clear" w:color="auto" w:fill="CFF0FC"/>
          </w:tcPr>
          <w:p>
            <w:pPr>
              <w:spacing w:after="0"/>
              <w:rPr>
                <w:sz w:val="16"/>
                <w:szCs w:val="16"/>
                <w:color w:val="auto"/>
              </w:rPr>
            </w:pPr>
          </w:p>
        </w:tc>
      </w:tr>
      <w:tr>
        <w:trPr>
          <w:trHeight w:val="186"/>
        </w:trPr>
        <w:tc>
          <w:tcPr>
            <w:tcW w:w="7700" w:type="dxa"/>
            <w:vAlign w:val="bottom"/>
            <w:gridSpan w:val="2"/>
          </w:tcPr>
          <w:p>
            <w:pPr>
              <w:ind w:left="200"/>
              <w:spacing w:after="0"/>
              <w:rPr>
                <w:sz w:val="20"/>
                <w:szCs w:val="20"/>
                <w:color w:val="auto"/>
              </w:rPr>
            </w:pPr>
            <w:r>
              <w:rPr>
                <w:rFonts w:ascii="Arial" w:cs="Arial" w:eastAsia="Arial" w:hAnsi="Arial"/>
                <w:sz w:val="15"/>
                <w:szCs w:val="15"/>
                <w:color w:val="auto"/>
              </w:rPr>
              <w:t>Additional paid-in capital</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w w:val="95"/>
              </w:rPr>
              <w:t>516,934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496,461</w:t>
            </w:r>
          </w:p>
        </w:tc>
        <w:tc>
          <w:tcPr>
            <w:tcW w:w="120" w:type="dxa"/>
            <w:vAlign w:val="bottom"/>
          </w:tcPr>
          <w:p>
            <w:pPr>
              <w:spacing w:after="0"/>
              <w:rPr>
                <w:sz w:val="16"/>
                <w:szCs w:val="16"/>
                <w:color w:val="auto"/>
              </w:rPr>
            </w:pPr>
          </w:p>
        </w:tc>
      </w:tr>
      <w:tr>
        <w:trPr>
          <w:trHeight w:val="186"/>
        </w:trPr>
        <w:tc>
          <w:tcPr>
            <w:tcW w:w="7700" w:type="dxa"/>
            <w:vAlign w:val="bottom"/>
            <w:gridSpan w:val="2"/>
            <w:shd w:val="clear" w:color="auto" w:fill="CFF0FC"/>
          </w:tcPr>
          <w:p>
            <w:pPr>
              <w:ind w:left="200"/>
              <w:spacing w:after="0"/>
              <w:rPr>
                <w:sz w:val="20"/>
                <w:szCs w:val="20"/>
                <w:color w:val="auto"/>
              </w:rPr>
            </w:pPr>
            <w:r>
              <w:rPr>
                <w:rFonts w:ascii="Arial" w:cs="Arial" w:eastAsia="Arial" w:hAnsi="Arial"/>
                <w:sz w:val="15"/>
                <w:szCs w:val="15"/>
                <w:color w:val="auto"/>
              </w:rPr>
              <w:t>Accumulated other comprehensive loss</w:t>
            </w: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(138)</w:t>
            </w: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(57)</w:t>
            </w:r>
          </w:p>
        </w:tc>
      </w:tr>
      <w:tr>
        <w:trPr>
          <w:trHeight w:val="186"/>
        </w:trPr>
        <w:tc>
          <w:tcPr>
            <w:tcW w:w="7700" w:type="dxa"/>
            <w:vAlign w:val="bottom"/>
            <w:gridSpan w:val="2"/>
          </w:tcPr>
          <w:p>
            <w:pPr>
              <w:ind w:left="200"/>
              <w:spacing w:after="0"/>
              <w:rPr>
                <w:sz w:val="20"/>
                <w:szCs w:val="20"/>
                <w:color w:val="auto"/>
              </w:rPr>
            </w:pPr>
            <w:r>
              <w:rPr>
                <w:rFonts w:ascii="Arial" w:cs="Arial" w:eastAsia="Arial" w:hAnsi="Arial"/>
                <w:sz w:val="15"/>
                <w:szCs w:val="15"/>
                <w:color w:val="auto"/>
              </w:rPr>
              <w:t>Accumulated deficit</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w w:val="90"/>
              </w:rPr>
              <w:t>(295,737)</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5"/>
                <w:szCs w:val="15"/>
                <w:color w:val="auto"/>
              </w:rPr>
              <w:t>(286,082)</w:t>
            </w:r>
          </w:p>
        </w:tc>
      </w:tr>
      <w:tr>
        <w:trPr>
          <w:trHeight w:val="177"/>
        </w:trPr>
        <w:tc>
          <w:tcPr>
            <w:tcW w:w="77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5"/>
                <w:szCs w:val="15"/>
                <w:color w:val="auto"/>
              </w:rPr>
              <w:t>Total stockholders’ equity</w:t>
            </w:r>
          </w:p>
        </w:tc>
        <w:tc>
          <w:tcPr>
            <w:tcW w:w="180" w:type="dxa"/>
            <w:vAlign w:val="bottom"/>
            <w:tcBorders>
              <w:top w:val="single" w:sz="8" w:color="CFF0FC"/>
            </w:tcBorders>
            <w:shd w:val="clear" w:color="auto" w:fill="CFF0FC"/>
          </w:tcPr>
          <w:p>
            <w:pPr>
              <w:spacing w:after="0"/>
              <w:rPr>
                <w:sz w:val="15"/>
                <w:szCs w:val="15"/>
                <w:color w:val="auto"/>
              </w:rPr>
            </w:pPr>
          </w:p>
        </w:tc>
        <w:tc>
          <w:tcPr>
            <w:tcW w:w="1040" w:type="dxa"/>
            <w:vAlign w:val="bottom"/>
            <w:tcBorders>
              <w:top w:val="single" w:sz="8" w:color="auto"/>
              <w:bottom w:val="single" w:sz="8" w:color="auto"/>
            </w:tcBorders>
            <w:shd w:val="clear" w:color="auto" w:fill="CFF0FC"/>
          </w:tcPr>
          <w:p>
            <w:pPr>
              <w:spacing w:after="0"/>
              <w:rPr>
                <w:sz w:val="15"/>
                <w:szCs w:val="15"/>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5"/>
              </w:rPr>
              <w:t>221,098</w:t>
            </w:r>
          </w:p>
        </w:tc>
        <w:tc>
          <w:tcPr>
            <w:tcW w:w="1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280" w:type="dxa"/>
            <w:vAlign w:val="bottom"/>
            <w:tcBorders>
              <w:top w:val="single" w:sz="8" w:color="auto"/>
              <w:bottom w:val="single" w:sz="8" w:color="auto"/>
            </w:tcBorders>
            <w:shd w:val="clear" w:color="auto" w:fill="CFF0FC"/>
          </w:tcPr>
          <w:p>
            <w:pPr>
              <w:spacing w:after="0"/>
              <w:rPr>
                <w:sz w:val="15"/>
                <w:szCs w:val="15"/>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210,360</w:t>
            </w:r>
          </w:p>
        </w:tc>
        <w:tc>
          <w:tcPr>
            <w:tcW w:w="120" w:type="dxa"/>
            <w:vAlign w:val="bottom"/>
            <w:tcBorders>
              <w:top w:val="single" w:sz="8" w:color="CFF0FC"/>
            </w:tcBorders>
            <w:shd w:val="clear" w:color="auto" w:fill="CFF0FC"/>
          </w:tcPr>
          <w:p>
            <w:pPr>
              <w:spacing w:after="0"/>
              <w:rPr>
                <w:sz w:val="15"/>
                <w:szCs w:val="15"/>
                <w:color w:val="auto"/>
              </w:rPr>
            </w:pPr>
          </w:p>
        </w:tc>
      </w:tr>
      <w:tr>
        <w:trPr>
          <w:trHeight w:val="177"/>
        </w:trPr>
        <w:tc>
          <w:tcPr>
            <w:tcW w:w="7700" w:type="dxa"/>
            <w:vAlign w:val="bottom"/>
            <w:gridSpan w:val="2"/>
          </w:tcPr>
          <w:p>
            <w:pPr>
              <w:spacing w:after="0"/>
              <w:rPr>
                <w:sz w:val="20"/>
                <w:szCs w:val="20"/>
                <w:color w:val="auto"/>
              </w:rPr>
            </w:pPr>
            <w:r>
              <w:rPr>
                <w:rFonts w:ascii="Arial" w:cs="Arial" w:eastAsia="Arial" w:hAnsi="Arial"/>
                <w:sz w:val="15"/>
                <w:szCs w:val="15"/>
                <w:b w:val="1"/>
                <w:bCs w:val="1"/>
                <w:color w:val="auto"/>
              </w:rPr>
              <w:t>Total liabilities and stockholders’ equity</w:t>
            </w:r>
          </w:p>
        </w:tc>
        <w:tc>
          <w:tcPr>
            <w:tcW w:w="1220" w:type="dxa"/>
            <w:vAlign w:val="bottom"/>
            <w:gridSpan w:val="2"/>
          </w:tcPr>
          <w:p>
            <w:pPr>
              <w:jc w:val="right"/>
              <w:ind w:right="902"/>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w w:val="95"/>
              </w:rPr>
              <w:t>742,975</w:t>
            </w:r>
          </w:p>
        </w:tc>
        <w:tc>
          <w:tcPr>
            <w:tcW w:w="120" w:type="dxa"/>
            <w:vAlign w:val="bottom"/>
          </w:tcPr>
          <w:p>
            <w:pPr>
              <w:spacing w:after="0"/>
              <w:rPr>
                <w:sz w:val="15"/>
                <w:szCs w:val="15"/>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712,175</w:t>
            </w:r>
          </w:p>
        </w:tc>
        <w:tc>
          <w:tcPr>
            <w:tcW w:w="120" w:type="dxa"/>
            <w:vAlign w:val="bottom"/>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The accompanying notes are an integral part of the consolidated financial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1390"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60"/>
          </w:cols>
          <w:pgMar w:left="220" w:top="300" w:right="219" w:bottom="1440" w:gutter="0" w:footer="0" w:header="0"/>
        </w:sectPr>
      </w:pPr>
    </w:p>
    <w:bookmarkStart w:id="5" w:name="page6"/>
    <w:bookmarkEnd w:id="5"/>
    <w:p>
      <w:pPr>
        <w:jc w:val="center"/>
        <w:spacing w:after="0"/>
        <w:rPr>
          <w:sz w:val="20"/>
          <w:szCs w:val="20"/>
          <w:color w:val="auto"/>
        </w:rPr>
      </w:pPr>
      <w:r>
        <w:rPr>
          <w:rFonts w:ascii="Arial" w:cs="Arial" w:eastAsia="Arial" w:hAnsi="Arial"/>
          <w:sz w:val="15"/>
          <w:szCs w:val="15"/>
          <w:b w:val="1"/>
          <w:bCs w:val="1"/>
          <w:color w:val="auto"/>
        </w:rPr>
        <w:t>HubSpot,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 Consolidated Statements of Operations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300" w:type="dxa"/>
            <w:vAlign w:val="bottom"/>
          </w:tcPr>
          <w:p>
            <w:pPr>
              <w:spacing w:after="0"/>
              <w:rPr>
                <w:sz w:val="12"/>
                <w:szCs w:val="12"/>
                <w:color w:val="auto"/>
              </w:rPr>
            </w:pPr>
          </w:p>
        </w:tc>
        <w:tc>
          <w:tcPr>
            <w:tcW w:w="342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2"/>
                <w:szCs w:val="12"/>
                <w:b w:val="1"/>
                <w:bCs w:val="1"/>
                <w:color w:val="auto"/>
              </w:rPr>
              <w:t>For the Three Months Ended March 31,</w:t>
            </w: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7300" w:type="dxa"/>
            <w:vAlign w:val="bottom"/>
            <w:tcBorders>
              <w:bottom w:val="single" w:sz="8" w:color="CFF0FC"/>
            </w:tcBorders>
          </w:tcPr>
          <w:p>
            <w:pPr>
              <w:spacing w:after="0"/>
              <w:rPr>
                <w:sz w:val="10"/>
                <w:szCs w:val="10"/>
                <w:color w:val="auto"/>
              </w:rPr>
            </w:pPr>
          </w:p>
        </w:tc>
        <w:tc>
          <w:tcPr>
            <w:tcW w:w="1200" w:type="dxa"/>
            <w:vAlign w:val="bottom"/>
            <w:tcBorders>
              <w:bottom w:val="single" w:sz="8" w:color="auto"/>
            </w:tcBorders>
          </w:tcPr>
          <w:p>
            <w:pPr>
              <w:jc w:val="right"/>
              <w:ind w:right="105"/>
              <w:spacing w:after="0" w:line="123" w:lineRule="exact"/>
              <w:rPr>
                <w:sz w:val="20"/>
                <w:szCs w:val="20"/>
                <w:color w:val="auto"/>
              </w:rPr>
            </w:pPr>
            <w:r>
              <w:rPr>
                <w:rFonts w:ascii="Arial" w:cs="Arial" w:eastAsia="Arial" w:hAnsi="Arial"/>
                <w:sz w:val="12"/>
                <w:szCs w:val="12"/>
                <w:b w:val="1"/>
                <w:bCs w:val="1"/>
                <w:color w:val="auto"/>
              </w:rPr>
              <w:t>2018</w:t>
            </w:r>
          </w:p>
        </w:tc>
        <w:tc>
          <w:tcPr>
            <w:tcW w:w="660" w:type="dxa"/>
            <w:vAlign w:val="bottom"/>
            <w:tcBorders>
              <w:bottom w:val="single" w:sz="8" w:color="auto"/>
            </w:tcBorders>
          </w:tcPr>
          <w:p>
            <w:pPr>
              <w:spacing w:after="0"/>
              <w:rPr>
                <w:sz w:val="10"/>
                <w:szCs w:val="10"/>
                <w:color w:val="auto"/>
              </w:rPr>
            </w:pPr>
          </w:p>
        </w:tc>
        <w:tc>
          <w:tcPr>
            <w:tcW w:w="280" w:type="dxa"/>
            <w:vAlign w:val="bottom"/>
            <w:tcBorders>
              <w:bottom w:val="single" w:sz="8" w:color="CFF0FC"/>
            </w:tcBorders>
          </w:tcPr>
          <w:p>
            <w:pPr>
              <w:spacing w:after="0"/>
              <w:rPr>
                <w:sz w:val="10"/>
                <w:szCs w:val="10"/>
                <w:color w:val="auto"/>
              </w:rPr>
            </w:pPr>
          </w:p>
        </w:tc>
        <w:tc>
          <w:tcPr>
            <w:tcW w:w="1280" w:type="dxa"/>
            <w:vAlign w:val="bottom"/>
            <w:tcBorders>
              <w:bottom w:val="single" w:sz="8" w:color="auto"/>
            </w:tcBorders>
          </w:tcPr>
          <w:p>
            <w:pPr>
              <w:jc w:val="right"/>
              <w:ind w:right="151"/>
              <w:spacing w:after="0" w:line="123" w:lineRule="exact"/>
              <w:rPr>
                <w:sz w:val="20"/>
                <w:szCs w:val="20"/>
                <w:color w:val="auto"/>
              </w:rPr>
            </w:pPr>
            <w:r>
              <w:rPr>
                <w:rFonts w:ascii="Arial" w:cs="Arial" w:eastAsia="Arial" w:hAnsi="Arial"/>
                <w:sz w:val="12"/>
                <w:szCs w:val="12"/>
                <w:b w:val="1"/>
                <w:bCs w:val="1"/>
                <w:color w:val="auto"/>
              </w:rPr>
              <w:t>2017</w:t>
            </w:r>
          </w:p>
        </w:tc>
        <w:tc>
          <w:tcPr>
            <w:tcW w:w="640" w:type="dxa"/>
            <w:vAlign w:val="bottom"/>
            <w:tcBorders>
              <w:bottom w:val="single" w:sz="8" w:color="auto"/>
            </w:tcBorders>
          </w:tcPr>
          <w:p>
            <w:pPr>
              <w:spacing w:after="0"/>
              <w:rPr>
                <w:sz w:val="10"/>
                <w:szCs w:val="10"/>
                <w:color w:val="auto"/>
              </w:rPr>
            </w:pPr>
          </w:p>
        </w:tc>
        <w:tc>
          <w:tcPr>
            <w:tcW w:w="10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7300" w:type="dxa"/>
            <w:vAlign w:val="bottom"/>
            <w:shd w:val="clear" w:color="auto" w:fill="CFF0FC"/>
          </w:tcPr>
          <w:p>
            <w:pPr>
              <w:spacing w:after="0"/>
              <w:rPr>
                <w:sz w:val="20"/>
                <w:szCs w:val="20"/>
                <w:color w:val="auto"/>
              </w:rPr>
            </w:pPr>
            <w:r>
              <w:rPr>
                <w:rFonts w:ascii="Arial" w:cs="Arial" w:eastAsia="Arial" w:hAnsi="Arial"/>
                <w:sz w:val="15"/>
                <w:szCs w:val="15"/>
                <w:color w:val="auto"/>
              </w:rPr>
              <w:t>Revenues:</w:t>
            </w:r>
          </w:p>
        </w:tc>
        <w:tc>
          <w:tcPr>
            <w:tcW w:w="12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300" w:type="dxa"/>
            <w:vAlign w:val="bottom"/>
          </w:tcPr>
          <w:p>
            <w:pPr>
              <w:ind w:left="200"/>
              <w:spacing w:after="0"/>
              <w:rPr>
                <w:sz w:val="20"/>
                <w:szCs w:val="20"/>
                <w:color w:val="auto"/>
              </w:rPr>
            </w:pPr>
            <w:r>
              <w:rPr>
                <w:rFonts w:ascii="Arial" w:cs="Arial" w:eastAsia="Arial" w:hAnsi="Arial"/>
                <w:sz w:val="15"/>
                <w:szCs w:val="15"/>
                <w:color w:val="auto"/>
              </w:rPr>
              <w:t>Subscription</w:t>
            </w:r>
          </w:p>
        </w:tc>
        <w:tc>
          <w:tcPr>
            <w:tcW w:w="1200" w:type="dxa"/>
            <w:vAlign w:val="bottom"/>
          </w:tcPr>
          <w:p>
            <w:pPr>
              <w:jc w:val="right"/>
              <w:ind w:right="1085"/>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108,602</w:t>
            </w:r>
          </w:p>
        </w:tc>
        <w:tc>
          <w:tcPr>
            <w:tcW w:w="280" w:type="dxa"/>
            <w:vAlign w:val="bottom"/>
          </w:tcPr>
          <w:p>
            <w:pPr>
              <w:spacing w:after="0"/>
              <w:rPr>
                <w:sz w:val="16"/>
                <w:szCs w:val="16"/>
                <w:color w:val="auto"/>
              </w:rPr>
            </w:pPr>
          </w:p>
        </w:tc>
        <w:tc>
          <w:tcPr>
            <w:tcW w:w="1280" w:type="dxa"/>
            <w:vAlign w:val="bottom"/>
          </w:tcPr>
          <w:p>
            <w:pPr>
              <w:jc w:val="right"/>
              <w:ind w:right="1131"/>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77,503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3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Professional services and other</w:t>
            </w:r>
          </w:p>
        </w:tc>
        <w:tc>
          <w:tcPr>
            <w:tcW w:w="120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5,954</w:t>
            </w:r>
          </w:p>
        </w:tc>
        <w:tc>
          <w:tcPr>
            <w:tcW w:w="280" w:type="dxa"/>
            <w:vAlign w:val="bottom"/>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4,749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7300" w:type="dxa"/>
            <w:vAlign w:val="bottom"/>
            <w:tcBorders>
              <w:bottom w:val="single" w:sz="8" w:color="CFF0FC"/>
            </w:tcBorders>
          </w:tcPr>
          <w:p>
            <w:pPr>
              <w:ind w:left="600"/>
              <w:spacing w:after="0"/>
              <w:rPr>
                <w:sz w:val="20"/>
                <w:szCs w:val="20"/>
                <w:color w:val="auto"/>
              </w:rPr>
            </w:pPr>
            <w:r>
              <w:rPr>
                <w:rFonts w:ascii="Arial" w:cs="Arial" w:eastAsia="Arial" w:hAnsi="Arial"/>
                <w:sz w:val="15"/>
                <w:szCs w:val="15"/>
                <w:color w:val="auto"/>
              </w:rPr>
              <w:t>Total revenue</w:t>
            </w:r>
          </w:p>
        </w:tc>
        <w:tc>
          <w:tcPr>
            <w:tcW w:w="1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114,556</w:t>
            </w:r>
          </w:p>
        </w:tc>
        <w:tc>
          <w:tcPr>
            <w:tcW w:w="280" w:type="dxa"/>
            <w:vAlign w:val="bottom"/>
            <w:tcBorders>
              <w:bottom w:val="single" w:sz="8" w:color="CFF0FC"/>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82,252</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300" w:type="dxa"/>
            <w:vAlign w:val="bottom"/>
            <w:shd w:val="clear" w:color="auto" w:fill="CFF0FC"/>
          </w:tcPr>
          <w:p>
            <w:pPr>
              <w:spacing w:after="0"/>
              <w:rPr>
                <w:sz w:val="20"/>
                <w:szCs w:val="20"/>
                <w:color w:val="auto"/>
              </w:rPr>
            </w:pPr>
            <w:r>
              <w:rPr>
                <w:rFonts w:ascii="Arial" w:cs="Arial" w:eastAsia="Arial" w:hAnsi="Arial"/>
                <w:sz w:val="15"/>
                <w:szCs w:val="15"/>
                <w:color w:val="auto"/>
              </w:rPr>
              <w:t>Cost of revenues:</w:t>
            </w:r>
          </w:p>
        </w:tc>
        <w:tc>
          <w:tcPr>
            <w:tcW w:w="12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300" w:type="dxa"/>
            <w:vAlign w:val="bottom"/>
          </w:tcPr>
          <w:p>
            <w:pPr>
              <w:ind w:left="200"/>
              <w:spacing w:after="0"/>
              <w:rPr>
                <w:sz w:val="20"/>
                <w:szCs w:val="20"/>
                <w:color w:val="auto"/>
              </w:rPr>
            </w:pPr>
            <w:r>
              <w:rPr>
                <w:rFonts w:ascii="Arial" w:cs="Arial" w:eastAsia="Arial" w:hAnsi="Arial"/>
                <w:sz w:val="15"/>
                <w:szCs w:val="15"/>
                <w:color w:val="auto"/>
              </w:rPr>
              <w:t>Subscription</w:t>
            </w:r>
          </w:p>
        </w:tc>
        <w:tc>
          <w:tcPr>
            <w:tcW w:w="1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15,235</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11,409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3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Professional services and other</w:t>
            </w:r>
          </w:p>
        </w:tc>
        <w:tc>
          <w:tcPr>
            <w:tcW w:w="120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7,142</w:t>
            </w:r>
          </w:p>
        </w:tc>
        <w:tc>
          <w:tcPr>
            <w:tcW w:w="280" w:type="dxa"/>
            <w:vAlign w:val="bottom"/>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5,663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7300" w:type="dxa"/>
            <w:vAlign w:val="bottom"/>
            <w:tcBorders>
              <w:bottom w:val="single" w:sz="8" w:color="CFF0FC"/>
            </w:tcBorders>
          </w:tcPr>
          <w:p>
            <w:pPr>
              <w:ind w:left="600"/>
              <w:spacing w:after="0"/>
              <w:rPr>
                <w:sz w:val="20"/>
                <w:szCs w:val="20"/>
                <w:color w:val="auto"/>
              </w:rPr>
            </w:pPr>
            <w:r>
              <w:rPr>
                <w:rFonts w:ascii="Arial" w:cs="Arial" w:eastAsia="Arial" w:hAnsi="Arial"/>
                <w:sz w:val="15"/>
                <w:szCs w:val="15"/>
                <w:color w:val="auto"/>
              </w:rPr>
              <w:t>Total cost of revenues</w:t>
            </w:r>
          </w:p>
        </w:tc>
        <w:tc>
          <w:tcPr>
            <w:tcW w:w="1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22,377</w:t>
            </w:r>
          </w:p>
        </w:tc>
        <w:tc>
          <w:tcPr>
            <w:tcW w:w="280" w:type="dxa"/>
            <w:vAlign w:val="bottom"/>
            <w:tcBorders>
              <w:bottom w:val="single" w:sz="8" w:color="CFF0FC"/>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17,072</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300" w:type="dxa"/>
            <w:vAlign w:val="bottom"/>
            <w:shd w:val="clear" w:color="auto" w:fill="CFF0FC"/>
          </w:tcPr>
          <w:p>
            <w:pPr>
              <w:spacing w:after="0"/>
              <w:rPr>
                <w:sz w:val="20"/>
                <w:szCs w:val="20"/>
                <w:color w:val="auto"/>
              </w:rPr>
            </w:pPr>
            <w:r>
              <w:rPr>
                <w:rFonts w:ascii="Arial" w:cs="Arial" w:eastAsia="Arial" w:hAnsi="Arial"/>
                <w:sz w:val="15"/>
                <w:szCs w:val="15"/>
                <w:color w:val="auto"/>
              </w:rPr>
              <w:t>Gross profit</w:t>
            </w:r>
          </w:p>
        </w:tc>
        <w:tc>
          <w:tcPr>
            <w:tcW w:w="120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92,179</w:t>
            </w:r>
          </w:p>
        </w:tc>
        <w:tc>
          <w:tcPr>
            <w:tcW w:w="280" w:type="dxa"/>
            <w:vAlign w:val="bottom"/>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65,180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300" w:type="dxa"/>
            <w:vAlign w:val="bottom"/>
          </w:tcPr>
          <w:p>
            <w:pPr>
              <w:spacing w:after="0"/>
              <w:rPr>
                <w:sz w:val="20"/>
                <w:szCs w:val="20"/>
                <w:color w:val="auto"/>
              </w:rPr>
            </w:pPr>
            <w:r>
              <w:rPr>
                <w:rFonts w:ascii="Arial" w:cs="Arial" w:eastAsia="Arial" w:hAnsi="Arial"/>
                <w:sz w:val="15"/>
                <w:szCs w:val="15"/>
                <w:color w:val="auto"/>
              </w:rPr>
              <w:t>Operating expenses:</w:t>
            </w:r>
          </w:p>
        </w:tc>
        <w:tc>
          <w:tcPr>
            <w:tcW w:w="1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3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Research and development</w:t>
            </w:r>
          </w:p>
        </w:tc>
        <w:tc>
          <w:tcPr>
            <w:tcW w:w="120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26,352</w:t>
            </w: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13,370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300" w:type="dxa"/>
            <w:vAlign w:val="bottom"/>
          </w:tcPr>
          <w:p>
            <w:pPr>
              <w:ind w:left="200"/>
              <w:spacing w:after="0"/>
              <w:rPr>
                <w:sz w:val="20"/>
                <w:szCs w:val="20"/>
                <w:color w:val="auto"/>
              </w:rPr>
            </w:pPr>
            <w:r>
              <w:rPr>
                <w:rFonts w:ascii="Arial" w:cs="Arial" w:eastAsia="Arial" w:hAnsi="Arial"/>
                <w:sz w:val="15"/>
                <w:szCs w:val="15"/>
                <w:color w:val="auto"/>
              </w:rPr>
              <w:t>Sales and marketing</w:t>
            </w:r>
          </w:p>
        </w:tc>
        <w:tc>
          <w:tcPr>
            <w:tcW w:w="1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59,910</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46,672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3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General and administrative</w:t>
            </w:r>
          </w:p>
        </w:tc>
        <w:tc>
          <w:tcPr>
            <w:tcW w:w="120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17,241</w:t>
            </w:r>
          </w:p>
        </w:tc>
        <w:tc>
          <w:tcPr>
            <w:tcW w:w="280" w:type="dxa"/>
            <w:vAlign w:val="bottom"/>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13,138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7300" w:type="dxa"/>
            <w:vAlign w:val="bottom"/>
            <w:tcBorders>
              <w:bottom w:val="single" w:sz="8" w:color="CFF0FC"/>
            </w:tcBorders>
          </w:tcPr>
          <w:p>
            <w:pPr>
              <w:ind w:left="400"/>
              <w:spacing w:after="0"/>
              <w:rPr>
                <w:sz w:val="20"/>
                <w:szCs w:val="20"/>
                <w:color w:val="auto"/>
              </w:rPr>
            </w:pPr>
            <w:r>
              <w:rPr>
                <w:rFonts w:ascii="Arial" w:cs="Arial" w:eastAsia="Arial" w:hAnsi="Arial"/>
                <w:sz w:val="15"/>
                <w:szCs w:val="15"/>
                <w:color w:val="auto"/>
              </w:rPr>
              <w:t>Total operating expenses</w:t>
            </w:r>
          </w:p>
        </w:tc>
        <w:tc>
          <w:tcPr>
            <w:tcW w:w="1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103,503</w:t>
            </w:r>
          </w:p>
        </w:tc>
        <w:tc>
          <w:tcPr>
            <w:tcW w:w="280" w:type="dxa"/>
            <w:vAlign w:val="bottom"/>
            <w:tcBorders>
              <w:bottom w:val="single" w:sz="8" w:color="CFF0FC"/>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73,180</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300" w:type="dxa"/>
            <w:vAlign w:val="bottom"/>
            <w:shd w:val="clear" w:color="auto" w:fill="CFF0FC"/>
          </w:tcPr>
          <w:p>
            <w:pPr>
              <w:spacing w:after="0"/>
              <w:rPr>
                <w:sz w:val="20"/>
                <w:szCs w:val="20"/>
                <w:color w:val="auto"/>
              </w:rPr>
            </w:pPr>
            <w:r>
              <w:rPr>
                <w:rFonts w:ascii="Arial" w:cs="Arial" w:eastAsia="Arial" w:hAnsi="Arial"/>
                <w:sz w:val="15"/>
                <w:szCs w:val="15"/>
                <w:color w:val="auto"/>
              </w:rPr>
              <w:t>Loss from operations</w:t>
            </w:r>
          </w:p>
        </w:tc>
        <w:tc>
          <w:tcPr>
            <w:tcW w:w="12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(11,324)</w:t>
            </w:r>
          </w:p>
        </w:tc>
        <w:tc>
          <w:tcPr>
            <w:tcW w:w="128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(8,000)</w:t>
            </w:r>
          </w:p>
        </w:tc>
        <w:tc>
          <w:tcPr>
            <w:tcW w:w="0" w:type="dxa"/>
            <w:vAlign w:val="bottom"/>
          </w:tcPr>
          <w:p>
            <w:pPr>
              <w:spacing w:after="0"/>
              <w:rPr>
                <w:sz w:val="1"/>
                <w:szCs w:val="1"/>
                <w:color w:val="auto"/>
              </w:rPr>
            </w:pPr>
          </w:p>
        </w:tc>
      </w:tr>
      <w:tr>
        <w:trPr>
          <w:trHeight w:val="177"/>
        </w:trPr>
        <w:tc>
          <w:tcPr>
            <w:tcW w:w="7300" w:type="dxa"/>
            <w:vAlign w:val="bottom"/>
          </w:tcPr>
          <w:p>
            <w:pPr>
              <w:spacing w:after="0"/>
              <w:rPr>
                <w:sz w:val="20"/>
                <w:szCs w:val="20"/>
                <w:color w:val="auto"/>
              </w:rPr>
            </w:pPr>
            <w:r>
              <w:rPr>
                <w:rFonts w:ascii="Arial" w:cs="Arial" w:eastAsia="Arial" w:hAnsi="Arial"/>
                <w:sz w:val="15"/>
                <w:szCs w:val="15"/>
                <w:color w:val="auto"/>
              </w:rPr>
              <w:t>Other (expense) income:</w:t>
            </w:r>
          </w:p>
        </w:tc>
        <w:tc>
          <w:tcPr>
            <w:tcW w:w="1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3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Interest income</w:t>
            </w:r>
          </w:p>
        </w:tc>
        <w:tc>
          <w:tcPr>
            <w:tcW w:w="120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1,824</w:t>
            </w: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300" w:type="dxa"/>
            <w:vAlign w:val="bottom"/>
          </w:tcPr>
          <w:p>
            <w:pPr>
              <w:ind w:left="200"/>
              <w:spacing w:after="0"/>
              <w:rPr>
                <w:sz w:val="20"/>
                <w:szCs w:val="20"/>
                <w:color w:val="auto"/>
              </w:rPr>
            </w:pPr>
            <w:r>
              <w:rPr>
                <w:rFonts w:ascii="Arial" w:cs="Arial" w:eastAsia="Arial" w:hAnsi="Arial"/>
                <w:sz w:val="15"/>
                <w:szCs w:val="15"/>
                <w:color w:val="auto"/>
              </w:rPr>
              <w:t>Interest expense</w:t>
            </w:r>
          </w:p>
        </w:tc>
        <w:tc>
          <w:tcPr>
            <w:tcW w:w="120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(5,174)</w:t>
            </w:r>
          </w:p>
        </w:tc>
        <w:tc>
          <w:tcPr>
            <w:tcW w:w="128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186"/>
        </w:trPr>
        <w:tc>
          <w:tcPr>
            <w:tcW w:w="73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Other expense</w:t>
            </w:r>
          </w:p>
        </w:tc>
        <w:tc>
          <w:tcPr>
            <w:tcW w:w="120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(283)</w:t>
            </w:r>
          </w:p>
        </w:tc>
        <w:tc>
          <w:tcPr>
            <w:tcW w:w="128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(128)</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400"/>
              <w:spacing w:after="0"/>
              <w:rPr>
                <w:sz w:val="20"/>
                <w:szCs w:val="20"/>
                <w:color w:val="auto"/>
              </w:rPr>
            </w:pPr>
            <w:r>
              <w:rPr>
                <w:rFonts w:ascii="Arial" w:cs="Arial" w:eastAsia="Arial" w:hAnsi="Arial"/>
                <w:sz w:val="15"/>
                <w:szCs w:val="15"/>
                <w:color w:val="auto"/>
              </w:rPr>
              <w:t>Total other (expense) income</w:t>
            </w:r>
          </w:p>
        </w:tc>
        <w:tc>
          <w:tcPr>
            <w:tcW w:w="1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30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(3,633)</w:t>
            </w:r>
          </w:p>
        </w:tc>
        <w:tc>
          <w:tcPr>
            <w:tcW w:w="1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30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Loss before income tax expense</w:t>
            </w:r>
          </w:p>
        </w:tc>
        <w:tc>
          <w:tcPr>
            <w:tcW w:w="1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300" w:type="dxa"/>
            <w:vAlign w:val="bottom"/>
            <w:vMerge w:val="continue"/>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(14,957)</w:t>
            </w:r>
          </w:p>
        </w:tc>
        <w:tc>
          <w:tcPr>
            <w:tcW w:w="128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(7,877)</w:t>
            </w:r>
          </w:p>
        </w:tc>
        <w:tc>
          <w:tcPr>
            <w:tcW w:w="0" w:type="dxa"/>
            <w:vAlign w:val="bottom"/>
          </w:tcPr>
          <w:p>
            <w:pPr>
              <w:spacing w:after="0"/>
              <w:rPr>
                <w:sz w:val="1"/>
                <w:szCs w:val="1"/>
                <w:color w:val="auto"/>
              </w:rPr>
            </w:pPr>
          </w:p>
        </w:tc>
      </w:tr>
      <w:tr>
        <w:trPr>
          <w:trHeight w:val="186"/>
        </w:trPr>
        <w:tc>
          <w:tcPr>
            <w:tcW w:w="7300" w:type="dxa"/>
            <w:vAlign w:val="bottom"/>
          </w:tcPr>
          <w:p>
            <w:pPr>
              <w:ind w:left="400"/>
              <w:spacing w:after="0"/>
              <w:rPr>
                <w:sz w:val="20"/>
                <w:szCs w:val="20"/>
                <w:color w:val="auto"/>
              </w:rPr>
            </w:pPr>
            <w:r>
              <w:rPr>
                <w:rFonts w:ascii="Arial" w:cs="Arial" w:eastAsia="Arial" w:hAnsi="Arial"/>
                <w:sz w:val="15"/>
                <w:szCs w:val="15"/>
                <w:color w:val="auto"/>
              </w:rPr>
              <w:t>Income tax expense</w:t>
            </w:r>
          </w:p>
        </w:tc>
        <w:tc>
          <w:tcPr>
            <w:tcW w:w="120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(491)</w:t>
            </w:r>
          </w:p>
        </w:tc>
        <w:tc>
          <w:tcPr>
            <w:tcW w:w="128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(198)</w:t>
            </w:r>
          </w:p>
        </w:tc>
        <w:tc>
          <w:tcPr>
            <w:tcW w:w="0" w:type="dxa"/>
            <w:vAlign w:val="bottom"/>
          </w:tcPr>
          <w:p>
            <w:pPr>
              <w:spacing w:after="0"/>
              <w:rPr>
                <w:sz w:val="1"/>
                <w:szCs w:val="1"/>
                <w:color w:val="auto"/>
              </w:rPr>
            </w:pPr>
          </w:p>
        </w:tc>
      </w:tr>
      <w:tr>
        <w:trPr>
          <w:trHeight w:val="20"/>
        </w:trPr>
        <w:tc>
          <w:tcPr>
            <w:tcW w:w="730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Net loss</w:t>
            </w:r>
          </w:p>
        </w:tc>
        <w:tc>
          <w:tcPr>
            <w:tcW w:w="1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300" w:type="dxa"/>
            <w:vAlign w:val="bottom"/>
            <w:vMerge w:val="continue"/>
            <w:shd w:val="clear" w:color="auto" w:fill="CFF0FC"/>
          </w:tcPr>
          <w:p>
            <w:pPr>
              <w:spacing w:after="0"/>
              <w:rPr>
                <w:sz w:val="15"/>
                <w:szCs w:val="15"/>
                <w:color w:val="auto"/>
              </w:rPr>
            </w:pPr>
          </w:p>
        </w:tc>
        <w:tc>
          <w:tcPr>
            <w:tcW w:w="1200" w:type="dxa"/>
            <w:vAlign w:val="bottom"/>
            <w:shd w:val="clear" w:color="auto" w:fill="CFF0FC"/>
          </w:tcPr>
          <w:p>
            <w:pPr>
              <w:jc w:val="right"/>
              <w:ind w:right="1085"/>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(15,448)</w:t>
            </w:r>
          </w:p>
        </w:tc>
        <w:tc>
          <w:tcPr>
            <w:tcW w:w="1280" w:type="dxa"/>
            <w:vAlign w:val="bottom"/>
            <w:shd w:val="clear" w:color="auto" w:fill="CFF0FC"/>
          </w:tcPr>
          <w:p>
            <w:pPr>
              <w:jc w:val="right"/>
              <w:ind w:right="1131"/>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(8,075)</w:t>
            </w:r>
          </w:p>
        </w:tc>
        <w:tc>
          <w:tcPr>
            <w:tcW w:w="0" w:type="dxa"/>
            <w:vAlign w:val="bottom"/>
          </w:tcPr>
          <w:p>
            <w:pPr>
              <w:spacing w:after="0"/>
              <w:rPr>
                <w:sz w:val="1"/>
                <w:szCs w:val="1"/>
                <w:color w:val="auto"/>
              </w:rPr>
            </w:pPr>
          </w:p>
        </w:tc>
      </w:tr>
      <w:tr>
        <w:trPr>
          <w:trHeight w:val="20"/>
        </w:trPr>
        <w:tc>
          <w:tcPr>
            <w:tcW w:w="73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color w:val="auto"/>
              </w:rPr>
              <w:t>Net loss per share, basic and diluted</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300" w:type="dxa"/>
            <w:vAlign w:val="bottom"/>
            <w:vMerge w:val="continue"/>
          </w:tcPr>
          <w:p>
            <w:pPr>
              <w:spacing w:after="0"/>
              <w:rPr>
                <w:sz w:val="13"/>
                <w:szCs w:val="13"/>
                <w:color w:val="auto"/>
              </w:rPr>
            </w:pPr>
          </w:p>
        </w:tc>
        <w:tc>
          <w:tcPr>
            <w:tcW w:w="1200" w:type="dxa"/>
            <w:vAlign w:val="bottom"/>
          </w:tcPr>
          <w:p>
            <w:pPr>
              <w:jc w:val="right"/>
              <w:ind w:right="1085"/>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5"/>
                <w:szCs w:val="15"/>
                <w:color w:val="auto"/>
              </w:rPr>
              <w:t>(0.41)</w:t>
            </w:r>
          </w:p>
        </w:tc>
        <w:tc>
          <w:tcPr>
            <w:tcW w:w="1280" w:type="dxa"/>
            <w:vAlign w:val="bottom"/>
          </w:tcPr>
          <w:p>
            <w:pPr>
              <w:jc w:val="right"/>
              <w:ind w:right="1131"/>
              <w:spacing w:after="0" w:line="159" w:lineRule="exact"/>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5"/>
                <w:szCs w:val="15"/>
                <w:color w:val="auto"/>
              </w:rPr>
              <w:t>(0.22)</w:t>
            </w:r>
          </w:p>
        </w:tc>
        <w:tc>
          <w:tcPr>
            <w:tcW w:w="0" w:type="dxa"/>
            <w:vAlign w:val="bottom"/>
          </w:tcPr>
          <w:p>
            <w:pPr>
              <w:spacing w:after="0"/>
              <w:rPr>
                <w:sz w:val="1"/>
                <w:szCs w:val="1"/>
                <w:color w:val="auto"/>
              </w:rPr>
            </w:pPr>
          </w:p>
        </w:tc>
      </w:tr>
      <w:tr>
        <w:trPr>
          <w:trHeight w:val="176"/>
        </w:trPr>
        <w:tc>
          <w:tcPr>
            <w:tcW w:w="7300" w:type="dxa"/>
            <w:vAlign w:val="bottom"/>
            <w:shd w:val="clear" w:color="auto" w:fill="CFF0FC"/>
          </w:tcPr>
          <w:p>
            <w:pPr>
              <w:spacing w:after="0"/>
              <w:rPr>
                <w:sz w:val="20"/>
                <w:szCs w:val="20"/>
                <w:color w:val="auto"/>
              </w:rPr>
            </w:pPr>
            <w:r>
              <w:rPr>
                <w:rFonts w:ascii="Arial" w:cs="Arial" w:eastAsia="Arial" w:hAnsi="Arial"/>
                <w:sz w:val="15"/>
                <w:szCs w:val="15"/>
                <w:color w:val="auto"/>
              </w:rPr>
              <w:t>Weighted average common shares used in computing basic</w:t>
            </w:r>
          </w:p>
        </w:tc>
        <w:tc>
          <w:tcPr>
            <w:tcW w:w="12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300" w:type="dxa"/>
            <w:vAlign w:val="bottom"/>
            <w:shd w:val="clear" w:color="auto" w:fill="CFF0FC"/>
          </w:tcPr>
          <w:p>
            <w:pPr>
              <w:ind w:left="120"/>
              <w:spacing w:after="0"/>
              <w:rPr>
                <w:sz w:val="20"/>
                <w:szCs w:val="20"/>
                <w:color w:val="auto"/>
              </w:rPr>
            </w:pPr>
            <w:r>
              <w:rPr>
                <w:rFonts w:ascii="Arial" w:cs="Arial" w:eastAsia="Arial" w:hAnsi="Arial"/>
                <w:sz w:val="15"/>
                <w:szCs w:val="15"/>
                <w:color w:val="auto"/>
              </w:rPr>
              <w:t>and diluted net loss per share:</w:t>
            </w:r>
          </w:p>
        </w:tc>
        <w:tc>
          <w:tcPr>
            <w:tcW w:w="120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37,832</w:t>
            </w: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36,205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The accompanying notes are an integral part of the consolidated financial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1390" cy="39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60"/>
          </w:cols>
          <w:pgMar w:left="220" w:top="300" w:right="219" w:bottom="1440" w:gutter="0" w:footer="0" w:header="0"/>
        </w:sectPr>
      </w:pPr>
    </w:p>
    <w:bookmarkStart w:id="6" w:name="page7"/>
    <w:bookmarkEnd w:id="6"/>
    <w:p>
      <w:pPr>
        <w:jc w:val="center"/>
        <w:spacing w:after="0"/>
        <w:rPr>
          <w:sz w:val="20"/>
          <w:szCs w:val="20"/>
          <w:color w:val="auto"/>
        </w:rPr>
      </w:pPr>
      <w:r>
        <w:rPr>
          <w:rFonts w:ascii="Arial" w:cs="Arial" w:eastAsia="Arial" w:hAnsi="Arial"/>
          <w:sz w:val="15"/>
          <w:szCs w:val="15"/>
          <w:b w:val="1"/>
          <w:bCs w:val="1"/>
          <w:color w:val="auto"/>
        </w:rPr>
        <w:t>HubSpot,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 Consolidated Statements of Comprehensive Loss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42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gridSpan w:val="3"/>
          </w:tcPr>
          <w:p>
            <w:pPr>
              <w:jc w:val="right"/>
              <w:ind w:right="266"/>
              <w:spacing w:after="0"/>
              <w:rPr>
                <w:sz w:val="20"/>
                <w:szCs w:val="20"/>
                <w:color w:val="auto"/>
              </w:rPr>
            </w:pPr>
            <w:r>
              <w:rPr>
                <w:rFonts w:ascii="Arial" w:cs="Arial" w:eastAsia="Arial" w:hAnsi="Arial"/>
                <w:sz w:val="12"/>
                <w:szCs w:val="12"/>
                <w:b w:val="1"/>
                <w:bCs w:val="1"/>
                <w:color w:val="auto"/>
                <w:w w:val="91"/>
              </w:rPr>
              <w:t>For the Three Months Ended March 31,</w:t>
            </w: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7420" w:type="dxa"/>
            <w:vAlign w:val="bottom"/>
            <w:tcBorders>
              <w:bottom w:val="single" w:sz="8" w:color="CFF0FC"/>
            </w:tcBorders>
          </w:tcPr>
          <w:p>
            <w:pPr>
              <w:spacing w:after="0"/>
              <w:rPr>
                <w:sz w:val="10"/>
                <w:szCs w:val="10"/>
                <w:color w:val="auto"/>
              </w:rPr>
            </w:pPr>
          </w:p>
        </w:tc>
        <w:tc>
          <w:tcPr>
            <w:tcW w:w="92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2"/>
                <w:szCs w:val="12"/>
                <w:b w:val="1"/>
                <w:bCs w:val="1"/>
                <w:color w:val="auto"/>
              </w:rPr>
              <w:t>2018</w:t>
            </w:r>
          </w:p>
        </w:tc>
        <w:tc>
          <w:tcPr>
            <w:tcW w:w="600" w:type="dxa"/>
            <w:vAlign w:val="bottom"/>
            <w:tcBorders>
              <w:bottom w:val="single" w:sz="8" w:color="auto"/>
            </w:tcBorders>
          </w:tcPr>
          <w:p>
            <w:pPr>
              <w:spacing w:after="0"/>
              <w:rPr>
                <w:sz w:val="10"/>
                <w:szCs w:val="10"/>
                <w:color w:val="auto"/>
              </w:rPr>
            </w:pPr>
          </w:p>
        </w:tc>
        <w:tc>
          <w:tcPr>
            <w:tcW w:w="300" w:type="dxa"/>
            <w:vAlign w:val="bottom"/>
            <w:tcBorders>
              <w:bottom w:val="single" w:sz="8" w:color="CFF0FC"/>
            </w:tcBorders>
          </w:tcPr>
          <w:p>
            <w:pPr>
              <w:spacing w:after="0"/>
              <w:rPr>
                <w:sz w:val="10"/>
                <w:szCs w:val="10"/>
                <w:color w:val="auto"/>
              </w:rPr>
            </w:pPr>
          </w:p>
        </w:tc>
        <w:tc>
          <w:tcPr>
            <w:tcW w:w="1460" w:type="dxa"/>
            <w:vAlign w:val="bottom"/>
            <w:tcBorders>
              <w:bottom w:val="single" w:sz="8" w:color="auto"/>
            </w:tcBorders>
          </w:tcPr>
          <w:p>
            <w:pPr>
              <w:jc w:val="right"/>
              <w:ind w:right="246"/>
              <w:spacing w:after="0" w:line="123" w:lineRule="exact"/>
              <w:rPr>
                <w:sz w:val="20"/>
                <w:szCs w:val="20"/>
                <w:color w:val="auto"/>
              </w:rPr>
            </w:pPr>
            <w:r>
              <w:rPr>
                <w:rFonts w:ascii="Arial" w:cs="Arial" w:eastAsia="Arial" w:hAnsi="Arial"/>
                <w:sz w:val="12"/>
                <w:szCs w:val="12"/>
                <w:b w:val="1"/>
                <w:bCs w:val="1"/>
                <w:color w:val="auto"/>
              </w:rPr>
              <w:t>2017</w:t>
            </w:r>
          </w:p>
        </w:tc>
        <w:tc>
          <w:tcPr>
            <w:tcW w:w="660" w:type="dxa"/>
            <w:vAlign w:val="bottom"/>
            <w:tcBorders>
              <w:bottom w:val="single" w:sz="8" w:color="auto"/>
            </w:tcBorders>
          </w:tcPr>
          <w:p>
            <w:pPr>
              <w:spacing w:after="0"/>
              <w:rPr>
                <w:sz w:val="10"/>
                <w:szCs w:val="10"/>
                <w:color w:val="auto"/>
              </w:rPr>
            </w:pPr>
          </w:p>
        </w:tc>
        <w:tc>
          <w:tcPr>
            <w:tcW w:w="10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7420" w:type="dxa"/>
            <w:vAlign w:val="bottom"/>
            <w:shd w:val="clear" w:color="auto" w:fill="CFF0FC"/>
          </w:tcPr>
          <w:p>
            <w:pPr>
              <w:spacing w:after="0"/>
              <w:rPr>
                <w:sz w:val="20"/>
                <w:szCs w:val="20"/>
                <w:color w:val="auto"/>
              </w:rPr>
            </w:pPr>
            <w:r>
              <w:rPr>
                <w:rFonts w:ascii="Arial" w:cs="Arial" w:eastAsia="Arial" w:hAnsi="Arial"/>
                <w:sz w:val="15"/>
                <w:szCs w:val="15"/>
                <w:color w:val="auto"/>
              </w:rPr>
              <w:t>Net loss</w:t>
            </w:r>
          </w:p>
        </w:tc>
        <w:tc>
          <w:tcPr>
            <w:tcW w:w="920" w:type="dxa"/>
            <w:vAlign w:val="bottom"/>
            <w:shd w:val="clear" w:color="auto" w:fill="CFF0FC"/>
          </w:tcPr>
          <w:p>
            <w:pPr>
              <w:jc w:val="right"/>
              <w:ind w:right="772"/>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(15,448)</w:t>
            </w:r>
          </w:p>
        </w:tc>
        <w:tc>
          <w:tcPr>
            <w:tcW w:w="1460" w:type="dxa"/>
            <w:vAlign w:val="bottom"/>
            <w:shd w:val="clear" w:color="auto" w:fill="CFF0FC"/>
          </w:tcPr>
          <w:p>
            <w:pPr>
              <w:jc w:val="right"/>
              <w:ind w:right="1346"/>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(8,075)</w:t>
            </w:r>
          </w:p>
        </w:tc>
        <w:tc>
          <w:tcPr>
            <w:tcW w:w="0" w:type="dxa"/>
            <w:vAlign w:val="bottom"/>
          </w:tcPr>
          <w:p>
            <w:pPr>
              <w:spacing w:after="0"/>
              <w:rPr>
                <w:sz w:val="1"/>
                <w:szCs w:val="1"/>
                <w:color w:val="auto"/>
              </w:rPr>
            </w:pPr>
          </w:p>
        </w:tc>
      </w:tr>
      <w:tr>
        <w:trPr>
          <w:trHeight w:val="186"/>
        </w:trPr>
        <w:tc>
          <w:tcPr>
            <w:tcW w:w="7420" w:type="dxa"/>
            <w:vAlign w:val="bottom"/>
          </w:tcPr>
          <w:p>
            <w:pPr>
              <w:spacing w:after="0"/>
              <w:rPr>
                <w:sz w:val="20"/>
                <w:szCs w:val="20"/>
                <w:color w:val="auto"/>
              </w:rPr>
            </w:pPr>
            <w:r>
              <w:rPr>
                <w:rFonts w:ascii="Arial" w:cs="Arial" w:eastAsia="Arial" w:hAnsi="Arial"/>
                <w:sz w:val="15"/>
                <w:szCs w:val="15"/>
                <w:color w:val="auto"/>
              </w:rPr>
              <w:t>Other comprehensive loss:</w:t>
            </w: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420" w:type="dxa"/>
            <w:vAlign w:val="bottom"/>
            <w:shd w:val="clear" w:color="auto" w:fill="CFF0FC"/>
          </w:tcPr>
          <w:p>
            <w:pPr>
              <w:ind w:left="200"/>
              <w:spacing w:after="0"/>
              <w:rPr>
                <w:sz w:val="20"/>
                <w:szCs w:val="20"/>
                <w:color w:val="auto"/>
              </w:rPr>
            </w:pPr>
            <w:r>
              <w:rPr>
                <w:rFonts w:ascii="Arial" w:cs="Arial" w:eastAsia="Arial" w:hAnsi="Arial"/>
                <w:sz w:val="15"/>
                <w:szCs w:val="15"/>
                <w:color w:val="auto"/>
              </w:rPr>
              <w:t>Foreign currency translation adjustment</w:t>
            </w:r>
          </w:p>
        </w:tc>
        <w:tc>
          <w:tcPr>
            <w:tcW w:w="9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298</w:t>
            </w:r>
          </w:p>
        </w:tc>
        <w:tc>
          <w:tcPr>
            <w:tcW w:w="30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420" w:type="dxa"/>
            <w:vAlign w:val="bottom"/>
          </w:tcPr>
          <w:p>
            <w:pPr>
              <w:ind w:left="200"/>
              <w:spacing w:after="0"/>
              <w:rPr>
                <w:sz w:val="20"/>
                <w:szCs w:val="20"/>
                <w:color w:val="auto"/>
              </w:rPr>
            </w:pPr>
            <w:r>
              <w:rPr>
                <w:rFonts w:ascii="Arial" w:cs="Arial" w:eastAsia="Arial" w:hAnsi="Arial"/>
                <w:sz w:val="15"/>
                <w:szCs w:val="15"/>
                <w:color w:val="auto"/>
                <w:w w:val="91"/>
              </w:rPr>
              <w:t>Changes in unrealized loss on investments, net of income taxes of $0 for the three months ended March 31, 2018 and</w:t>
            </w: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420" w:type="dxa"/>
            <w:vAlign w:val="bottom"/>
          </w:tcPr>
          <w:p>
            <w:pPr>
              <w:ind w:left="200"/>
              <w:spacing w:after="0"/>
              <w:rPr>
                <w:sz w:val="20"/>
                <w:szCs w:val="20"/>
                <w:color w:val="auto"/>
              </w:rPr>
            </w:pPr>
            <w:r>
              <w:rPr>
                <w:rFonts w:ascii="Arial" w:cs="Arial" w:eastAsia="Arial" w:hAnsi="Arial"/>
                <w:sz w:val="15"/>
                <w:szCs w:val="15"/>
                <w:color w:val="auto"/>
              </w:rPr>
              <w:t>$18 for the three months ended March 31, 2017</w:t>
            </w:r>
          </w:p>
        </w:tc>
        <w:tc>
          <w:tcPr>
            <w:tcW w:w="92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5"/>
                <w:szCs w:val="15"/>
                <w:color w:val="auto"/>
              </w:rPr>
              <w:t>(379)</w:t>
            </w:r>
          </w:p>
        </w:tc>
        <w:tc>
          <w:tcPr>
            <w:tcW w:w="14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Comprehensive loss</w:t>
            </w: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20" w:type="dxa"/>
            <w:vAlign w:val="bottom"/>
            <w:vMerge w:val="continue"/>
            <w:shd w:val="clear" w:color="auto" w:fill="CFF0FC"/>
          </w:tcPr>
          <w:p>
            <w:pPr>
              <w:spacing w:after="0"/>
              <w:rPr>
                <w:sz w:val="15"/>
                <w:szCs w:val="15"/>
                <w:color w:val="auto"/>
              </w:rPr>
            </w:pPr>
          </w:p>
        </w:tc>
        <w:tc>
          <w:tcPr>
            <w:tcW w:w="920" w:type="dxa"/>
            <w:vAlign w:val="bottom"/>
            <w:shd w:val="clear" w:color="auto" w:fill="CFF0FC"/>
          </w:tcPr>
          <w:p>
            <w:pPr>
              <w:jc w:val="right"/>
              <w:ind w:right="772"/>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(15,529)</w:t>
            </w:r>
          </w:p>
        </w:tc>
        <w:tc>
          <w:tcPr>
            <w:tcW w:w="1460" w:type="dxa"/>
            <w:vAlign w:val="bottom"/>
            <w:shd w:val="clear" w:color="auto" w:fill="CFF0FC"/>
          </w:tcPr>
          <w:p>
            <w:pPr>
              <w:jc w:val="right"/>
              <w:ind w:right="1346"/>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(7,919)</w:t>
            </w:r>
          </w:p>
        </w:tc>
        <w:tc>
          <w:tcPr>
            <w:tcW w:w="0" w:type="dxa"/>
            <w:vAlign w:val="bottom"/>
          </w:tcPr>
          <w:p>
            <w:pPr>
              <w:spacing w:after="0"/>
              <w:rPr>
                <w:sz w:val="1"/>
                <w:szCs w:val="1"/>
                <w:color w:val="auto"/>
              </w:rPr>
            </w:pPr>
          </w:p>
        </w:tc>
      </w:tr>
      <w:tr>
        <w:trPr>
          <w:trHeight w:val="20"/>
        </w:trPr>
        <w:tc>
          <w:tcPr>
            <w:tcW w:w="74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The accompanying notes are an integral part of the consolidated financial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1390" cy="39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60"/>
          </w:cols>
          <w:pgMar w:left="220" w:top="300" w:right="219" w:bottom="1440" w:gutter="0" w:footer="0" w:header="0"/>
        </w:sectPr>
      </w:pPr>
    </w:p>
    <w:bookmarkStart w:id="7" w:name="page8"/>
    <w:bookmarkEnd w:id="7"/>
    <w:p>
      <w:pPr>
        <w:jc w:val="center"/>
        <w:spacing w:after="0"/>
        <w:rPr>
          <w:sz w:val="20"/>
          <w:szCs w:val="20"/>
          <w:color w:val="auto"/>
        </w:rPr>
      </w:pPr>
      <w:r>
        <w:rPr>
          <w:rFonts w:ascii="Arial" w:cs="Arial" w:eastAsia="Arial" w:hAnsi="Arial"/>
          <w:sz w:val="15"/>
          <w:szCs w:val="15"/>
          <w:b w:val="1"/>
          <w:bCs w:val="1"/>
          <w:color w:val="auto"/>
        </w:rPr>
        <w:t>HubSpot,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880" w:type="dxa"/>
            <w:vAlign w:val="bottom"/>
          </w:tcPr>
          <w:p>
            <w:pPr>
              <w:spacing w:after="0"/>
              <w:rPr>
                <w:sz w:val="12"/>
                <w:szCs w:val="12"/>
                <w:color w:val="auto"/>
              </w:rPr>
            </w:pPr>
          </w:p>
        </w:tc>
        <w:tc>
          <w:tcPr>
            <w:tcW w:w="2900" w:type="dxa"/>
            <w:vAlign w:val="bottom"/>
            <w:tcBorders>
              <w:bottom w:val="single" w:sz="8" w:color="auto"/>
            </w:tcBorders>
            <w:gridSpan w:val="4"/>
          </w:tcPr>
          <w:p>
            <w:pPr>
              <w:jc w:val="right"/>
              <w:ind w:right="109"/>
              <w:spacing w:after="0"/>
              <w:rPr>
                <w:sz w:val="20"/>
                <w:szCs w:val="20"/>
                <w:color w:val="auto"/>
              </w:rPr>
            </w:pPr>
            <w:r>
              <w:rPr>
                <w:rFonts w:ascii="Arial" w:cs="Arial" w:eastAsia="Arial" w:hAnsi="Arial"/>
                <w:sz w:val="12"/>
                <w:szCs w:val="12"/>
                <w:b w:val="1"/>
                <w:bCs w:val="1"/>
                <w:color w:val="auto"/>
              </w:rPr>
              <w:t>For the Three Months Ended March 31,</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7880" w:type="dxa"/>
            <w:vAlign w:val="bottom"/>
            <w:tcBorders>
              <w:bottom w:val="single" w:sz="8" w:color="CFF0FC"/>
            </w:tcBorders>
          </w:tcPr>
          <w:p>
            <w:pPr>
              <w:spacing w:after="0"/>
              <w:rPr>
                <w:sz w:val="10"/>
                <w:szCs w:val="10"/>
                <w:color w:val="auto"/>
              </w:rPr>
            </w:pPr>
          </w:p>
        </w:tc>
        <w:tc>
          <w:tcPr>
            <w:tcW w:w="980" w:type="dxa"/>
            <w:vAlign w:val="bottom"/>
            <w:tcBorders>
              <w:bottom w:val="single" w:sz="8" w:color="auto"/>
            </w:tcBorders>
          </w:tcPr>
          <w:p>
            <w:pPr>
              <w:jc w:val="right"/>
              <w:ind w:right="26"/>
              <w:spacing w:after="0" w:line="123" w:lineRule="exact"/>
              <w:rPr>
                <w:sz w:val="20"/>
                <w:szCs w:val="20"/>
                <w:color w:val="auto"/>
              </w:rPr>
            </w:pPr>
            <w:r>
              <w:rPr>
                <w:rFonts w:ascii="Arial" w:cs="Arial" w:eastAsia="Arial" w:hAnsi="Arial"/>
                <w:sz w:val="12"/>
                <w:szCs w:val="12"/>
                <w:b w:val="1"/>
                <w:bCs w:val="1"/>
                <w:color w:val="auto"/>
              </w:rPr>
              <w:t>2018</w:t>
            </w:r>
          </w:p>
        </w:tc>
        <w:tc>
          <w:tcPr>
            <w:tcW w:w="620" w:type="dxa"/>
            <w:vAlign w:val="bottom"/>
            <w:tcBorders>
              <w:bottom w:val="single" w:sz="8" w:color="auto"/>
            </w:tcBorders>
          </w:tcPr>
          <w:p>
            <w:pPr>
              <w:spacing w:after="0"/>
              <w:rPr>
                <w:sz w:val="10"/>
                <w:szCs w:val="10"/>
                <w:color w:val="auto"/>
              </w:rPr>
            </w:pPr>
          </w:p>
        </w:tc>
        <w:tc>
          <w:tcPr>
            <w:tcW w:w="280" w:type="dxa"/>
            <w:vAlign w:val="bottom"/>
            <w:tcBorders>
              <w:bottom w:val="single" w:sz="8" w:color="CFF0FC"/>
            </w:tcBorders>
          </w:tcPr>
          <w:p>
            <w:pPr>
              <w:spacing w:after="0"/>
              <w:rPr>
                <w:sz w:val="10"/>
                <w:szCs w:val="10"/>
                <w:color w:val="auto"/>
              </w:rPr>
            </w:pPr>
          </w:p>
        </w:tc>
        <w:tc>
          <w:tcPr>
            <w:tcW w:w="1020" w:type="dxa"/>
            <w:vAlign w:val="bottom"/>
            <w:tcBorders>
              <w:bottom w:val="single" w:sz="8" w:color="auto"/>
            </w:tcBorders>
          </w:tcPr>
          <w:p>
            <w:pPr>
              <w:jc w:val="right"/>
              <w:ind w:right="49"/>
              <w:spacing w:after="0" w:line="123" w:lineRule="exact"/>
              <w:rPr>
                <w:sz w:val="20"/>
                <w:szCs w:val="20"/>
                <w:color w:val="auto"/>
              </w:rPr>
            </w:pPr>
            <w:r>
              <w:rPr>
                <w:rFonts w:ascii="Arial" w:cs="Arial" w:eastAsia="Arial" w:hAnsi="Arial"/>
                <w:sz w:val="12"/>
                <w:szCs w:val="12"/>
                <w:b w:val="1"/>
                <w:bCs w:val="1"/>
                <w:color w:val="auto"/>
              </w:rPr>
              <w:t>2017</w:t>
            </w: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788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Operating Activities:</w:t>
            </w:r>
          </w:p>
        </w:tc>
        <w:tc>
          <w:tcPr>
            <w:tcW w:w="9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880" w:type="dxa"/>
            <w:vAlign w:val="bottom"/>
          </w:tcPr>
          <w:p>
            <w:pPr>
              <w:ind w:left="200"/>
              <w:spacing w:after="0"/>
              <w:rPr>
                <w:sz w:val="20"/>
                <w:szCs w:val="20"/>
                <w:color w:val="auto"/>
              </w:rPr>
            </w:pPr>
            <w:r>
              <w:rPr>
                <w:rFonts w:ascii="Arial" w:cs="Arial" w:eastAsia="Arial" w:hAnsi="Arial"/>
                <w:sz w:val="15"/>
                <w:szCs w:val="15"/>
                <w:color w:val="auto"/>
              </w:rPr>
              <w:t>Net loss</w:t>
            </w:r>
          </w:p>
        </w:tc>
        <w:tc>
          <w:tcPr>
            <w:tcW w:w="980" w:type="dxa"/>
            <w:vAlign w:val="bottom"/>
          </w:tcPr>
          <w:p>
            <w:pPr>
              <w:jc w:val="right"/>
              <w:ind w:right="866"/>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40"/>
              <w:spacing w:after="0"/>
              <w:rPr>
                <w:sz w:val="20"/>
                <w:szCs w:val="20"/>
                <w:color w:val="auto"/>
              </w:rPr>
            </w:pPr>
            <w:r>
              <w:rPr>
                <w:rFonts w:ascii="Arial" w:cs="Arial" w:eastAsia="Arial" w:hAnsi="Arial"/>
                <w:sz w:val="15"/>
                <w:szCs w:val="15"/>
                <w:color w:val="auto"/>
              </w:rPr>
              <w:t>(15,448)</w:t>
            </w:r>
          </w:p>
        </w:tc>
        <w:tc>
          <w:tcPr>
            <w:tcW w:w="1020" w:type="dxa"/>
            <w:vAlign w:val="bottom"/>
          </w:tcPr>
          <w:p>
            <w:pPr>
              <w:jc w:val="right"/>
              <w:ind w:right="869"/>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(8,075)</w:t>
            </w:r>
          </w:p>
        </w:tc>
        <w:tc>
          <w:tcPr>
            <w:tcW w:w="0" w:type="dxa"/>
            <w:vAlign w:val="bottom"/>
          </w:tcPr>
          <w:p>
            <w:pPr>
              <w:spacing w:after="0"/>
              <w:rPr>
                <w:sz w:val="1"/>
                <w:szCs w:val="1"/>
                <w:color w:val="auto"/>
              </w:rPr>
            </w:pPr>
          </w:p>
        </w:tc>
      </w:tr>
      <w:tr>
        <w:trPr>
          <w:trHeight w:val="176"/>
        </w:trPr>
        <w:tc>
          <w:tcPr>
            <w:tcW w:w="78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Adjustments to reconcile net loss to net cash and cash equivalents provided</w:t>
            </w:r>
          </w:p>
        </w:tc>
        <w:tc>
          <w:tcPr>
            <w:tcW w:w="9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880" w:type="dxa"/>
            <w:vAlign w:val="bottom"/>
            <w:shd w:val="clear" w:color="auto" w:fill="CFF0FC"/>
          </w:tcPr>
          <w:p>
            <w:pPr>
              <w:ind w:left="320"/>
              <w:spacing w:after="0"/>
              <w:rPr>
                <w:sz w:val="20"/>
                <w:szCs w:val="20"/>
                <w:color w:val="auto"/>
              </w:rPr>
            </w:pPr>
            <w:r>
              <w:rPr>
                <w:rFonts w:ascii="Arial" w:cs="Arial" w:eastAsia="Arial" w:hAnsi="Arial"/>
                <w:sz w:val="15"/>
                <w:szCs w:val="15"/>
                <w:color w:val="auto"/>
              </w:rPr>
              <w:t>by operating activities</w:t>
            </w:r>
          </w:p>
        </w:tc>
        <w:tc>
          <w:tcPr>
            <w:tcW w:w="9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80" w:type="dxa"/>
            <w:vAlign w:val="bottom"/>
          </w:tcPr>
          <w:p>
            <w:pPr>
              <w:ind w:left="400"/>
              <w:spacing w:after="0"/>
              <w:rPr>
                <w:sz w:val="20"/>
                <w:szCs w:val="20"/>
                <w:color w:val="auto"/>
              </w:rPr>
            </w:pPr>
            <w:r>
              <w:rPr>
                <w:rFonts w:ascii="Arial" w:cs="Arial" w:eastAsia="Arial" w:hAnsi="Arial"/>
                <w:sz w:val="15"/>
                <w:szCs w:val="15"/>
                <w:color w:val="auto"/>
              </w:rPr>
              <w:t>Depreciation and amortization</w:t>
            </w:r>
          </w:p>
        </w:tc>
        <w:tc>
          <w:tcPr>
            <w:tcW w:w="9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5,110</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3,329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80" w:type="dxa"/>
            <w:vAlign w:val="bottom"/>
            <w:shd w:val="clear" w:color="auto" w:fill="CFF0FC"/>
          </w:tcPr>
          <w:p>
            <w:pPr>
              <w:ind w:left="400"/>
              <w:spacing w:after="0"/>
              <w:rPr>
                <w:sz w:val="20"/>
                <w:szCs w:val="20"/>
                <w:color w:val="auto"/>
              </w:rPr>
            </w:pPr>
            <w:r>
              <w:rPr>
                <w:rFonts w:ascii="Arial" w:cs="Arial" w:eastAsia="Arial" w:hAnsi="Arial"/>
                <w:sz w:val="15"/>
                <w:szCs w:val="15"/>
                <w:color w:val="auto"/>
              </w:rPr>
              <w:t>Stock-based compensation</w:t>
            </w:r>
          </w:p>
        </w:tc>
        <w:tc>
          <w:tcPr>
            <w:tcW w:w="98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16,046</w:t>
            </w: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9,303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80" w:type="dxa"/>
            <w:vAlign w:val="bottom"/>
          </w:tcPr>
          <w:p>
            <w:pPr>
              <w:ind w:left="400"/>
              <w:spacing w:after="0"/>
              <w:rPr>
                <w:sz w:val="20"/>
                <w:szCs w:val="20"/>
                <w:color w:val="auto"/>
              </w:rPr>
            </w:pPr>
            <w:r>
              <w:rPr>
                <w:rFonts w:ascii="Arial" w:cs="Arial" w:eastAsia="Arial" w:hAnsi="Arial"/>
                <w:sz w:val="15"/>
                <w:szCs w:val="15"/>
                <w:color w:val="auto"/>
              </w:rPr>
              <w:t>Benefit for deferred income taxes</w:t>
            </w:r>
          </w:p>
        </w:tc>
        <w:tc>
          <w:tcPr>
            <w:tcW w:w="980" w:type="dxa"/>
            <w:vAlign w:val="bottom"/>
          </w:tcPr>
          <w:p>
            <w:pPr>
              <w:spacing w:after="0"/>
              <w:rPr>
                <w:sz w:val="16"/>
                <w:szCs w:val="16"/>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2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186"/>
        </w:trPr>
        <w:tc>
          <w:tcPr>
            <w:tcW w:w="7880" w:type="dxa"/>
            <w:vAlign w:val="bottom"/>
            <w:shd w:val="clear" w:color="auto" w:fill="CFF0FC"/>
          </w:tcPr>
          <w:p>
            <w:pPr>
              <w:ind w:left="400"/>
              <w:spacing w:after="0"/>
              <w:rPr>
                <w:sz w:val="20"/>
                <w:szCs w:val="20"/>
                <w:color w:val="auto"/>
              </w:rPr>
            </w:pPr>
            <w:r>
              <w:rPr>
                <w:rFonts w:ascii="Arial" w:cs="Arial" w:eastAsia="Arial" w:hAnsi="Arial"/>
                <w:sz w:val="15"/>
                <w:szCs w:val="15"/>
                <w:color w:val="auto"/>
              </w:rPr>
              <w:t>Amortization of debt discount and issuance costs</w:t>
            </w:r>
          </w:p>
        </w:tc>
        <w:tc>
          <w:tcPr>
            <w:tcW w:w="98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4,908</w:t>
            </w: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7880" w:type="dxa"/>
            <w:vAlign w:val="bottom"/>
          </w:tcPr>
          <w:p>
            <w:pPr>
              <w:ind w:left="400"/>
              <w:spacing w:after="0"/>
              <w:rPr>
                <w:sz w:val="20"/>
                <w:szCs w:val="20"/>
                <w:color w:val="auto"/>
              </w:rPr>
            </w:pPr>
            <w:r>
              <w:rPr>
                <w:rFonts w:ascii="Arial" w:cs="Arial" w:eastAsia="Arial" w:hAnsi="Arial"/>
                <w:sz w:val="15"/>
                <w:szCs w:val="15"/>
                <w:color w:val="auto"/>
              </w:rPr>
              <w:t>(Accretion) amortization of bond discount premium</w:t>
            </w:r>
          </w:p>
        </w:tc>
        <w:tc>
          <w:tcPr>
            <w:tcW w:w="98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5"/>
                <w:szCs w:val="15"/>
                <w:color w:val="auto"/>
              </w:rPr>
              <w:t>(1,164)</w:t>
            </w: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77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80" w:type="dxa"/>
            <w:vAlign w:val="bottom"/>
            <w:shd w:val="clear" w:color="auto" w:fill="CFF0FC"/>
          </w:tcPr>
          <w:p>
            <w:pPr>
              <w:ind w:left="400"/>
              <w:spacing w:after="0"/>
              <w:rPr>
                <w:sz w:val="20"/>
                <w:szCs w:val="20"/>
                <w:color w:val="auto"/>
              </w:rPr>
            </w:pPr>
            <w:r>
              <w:rPr>
                <w:rFonts w:ascii="Arial" w:cs="Arial" w:eastAsia="Arial" w:hAnsi="Arial"/>
                <w:sz w:val="15"/>
                <w:szCs w:val="15"/>
                <w:color w:val="auto"/>
              </w:rPr>
              <w:t>Noncash rent expense</w:t>
            </w:r>
          </w:p>
        </w:tc>
        <w:tc>
          <w:tcPr>
            <w:tcW w:w="98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794</w:t>
            </w: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1,667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80" w:type="dxa"/>
            <w:vAlign w:val="bottom"/>
          </w:tcPr>
          <w:p>
            <w:pPr>
              <w:ind w:left="400"/>
              <w:spacing w:after="0"/>
              <w:rPr>
                <w:sz w:val="20"/>
                <w:szCs w:val="20"/>
                <w:color w:val="auto"/>
              </w:rPr>
            </w:pPr>
            <w:r>
              <w:rPr>
                <w:rFonts w:ascii="Arial" w:cs="Arial" w:eastAsia="Arial" w:hAnsi="Arial"/>
                <w:sz w:val="15"/>
                <w:szCs w:val="15"/>
                <w:color w:val="auto"/>
              </w:rPr>
              <w:t>Unrealized currency translation</w:t>
            </w:r>
          </w:p>
        </w:tc>
        <w:tc>
          <w:tcPr>
            <w:tcW w:w="9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36</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186"/>
        </w:trPr>
        <w:tc>
          <w:tcPr>
            <w:tcW w:w="7880" w:type="dxa"/>
            <w:vAlign w:val="bottom"/>
            <w:shd w:val="clear" w:color="auto" w:fill="CFF0FC"/>
          </w:tcPr>
          <w:p>
            <w:pPr>
              <w:ind w:left="400"/>
              <w:spacing w:after="0"/>
              <w:rPr>
                <w:sz w:val="20"/>
                <w:szCs w:val="20"/>
                <w:color w:val="auto"/>
              </w:rPr>
            </w:pPr>
            <w:r>
              <w:rPr>
                <w:rFonts w:ascii="Arial" w:cs="Arial" w:eastAsia="Arial" w:hAnsi="Arial"/>
                <w:sz w:val="15"/>
                <w:szCs w:val="15"/>
                <w:color w:val="auto"/>
              </w:rPr>
              <w:t>Changes in assets and liabilities</w:t>
            </w:r>
          </w:p>
        </w:tc>
        <w:tc>
          <w:tcPr>
            <w:tcW w:w="9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80" w:type="dxa"/>
            <w:vAlign w:val="bottom"/>
          </w:tcPr>
          <w:p>
            <w:pPr>
              <w:ind w:left="600"/>
              <w:spacing w:after="0"/>
              <w:rPr>
                <w:sz w:val="20"/>
                <w:szCs w:val="20"/>
                <w:color w:val="auto"/>
              </w:rPr>
            </w:pPr>
            <w:r>
              <w:rPr>
                <w:rFonts w:ascii="Arial" w:cs="Arial" w:eastAsia="Arial" w:hAnsi="Arial"/>
                <w:sz w:val="15"/>
                <w:szCs w:val="15"/>
                <w:color w:val="auto"/>
              </w:rPr>
              <w:t>Accounts receivable</w:t>
            </w:r>
          </w:p>
        </w:tc>
        <w:tc>
          <w:tcPr>
            <w:tcW w:w="9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6,863</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4,176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80" w:type="dxa"/>
            <w:vAlign w:val="bottom"/>
            <w:shd w:val="clear" w:color="auto" w:fill="CFF0FC"/>
          </w:tcPr>
          <w:p>
            <w:pPr>
              <w:ind w:left="600"/>
              <w:spacing w:after="0"/>
              <w:rPr>
                <w:sz w:val="20"/>
                <w:szCs w:val="20"/>
                <w:color w:val="auto"/>
              </w:rPr>
            </w:pPr>
            <w:r>
              <w:rPr>
                <w:rFonts w:ascii="Arial" w:cs="Arial" w:eastAsia="Arial" w:hAnsi="Arial"/>
                <w:sz w:val="15"/>
                <w:szCs w:val="15"/>
                <w:color w:val="auto"/>
              </w:rPr>
              <w:t>Prepaid expenses and other assets</w:t>
            </w:r>
          </w:p>
        </w:tc>
        <w:tc>
          <w:tcPr>
            <w:tcW w:w="98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1,880</w:t>
            </w: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1,061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80" w:type="dxa"/>
            <w:vAlign w:val="bottom"/>
          </w:tcPr>
          <w:p>
            <w:pPr>
              <w:ind w:left="600"/>
              <w:spacing w:after="0"/>
              <w:rPr>
                <w:sz w:val="20"/>
                <w:szCs w:val="20"/>
                <w:color w:val="auto"/>
              </w:rPr>
            </w:pPr>
            <w:r>
              <w:rPr>
                <w:rFonts w:ascii="Arial" w:cs="Arial" w:eastAsia="Arial" w:hAnsi="Arial"/>
                <w:sz w:val="15"/>
                <w:szCs w:val="15"/>
                <w:color w:val="auto"/>
              </w:rPr>
              <w:t>Deferred commission expense</w:t>
            </w:r>
          </w:p>
        </w:tc>
        <w:tc>
          <w:tcPr>
            <w:tcW w:w="98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5"/>
                <w:szCs w:val="15"/>
                <w:color w:val="auto"/>
              </w:rPr>
              <w:t>(5,068)</w:t>
            </w:r>
          </w:p>
        </w:tc>
        <w:tc>
          <w:tcPr>
            <w:tcW w:w="102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(464)</w:t>
            </w:r>
          </w:p>
        </w:tc>
        <w:tc>
          <w:tcPr>
            <w:tcW w:w="0" w:type="dxa"/>
            <w:vAlign w:val="bottom"/>
          </w:tcPr>
          <w:p>
            <w:pPr>
              <w:spacing w:after="0"/>
              <w:rPr>
                <w:sz w:val="1"/>
                <w:szCs w:val="1"/>
                <w:color w:val="auto"/>
              </w:rPr>
            </w:pPr>
          </w:p>
        </w:tc>
      </w:tr>
      <w:tr>
        <w:trPr>
          <w:trHeight w:val="186"/>
        </w:trPr>
        <w:tc>
          <w:tcPr>
            <w:tcW w:w="7880" w:type="dxa"/>
            <w:vAlign w:val="bottom"/>
            <w:shd w:val="clear" w:color="auto" w:fill="CFF0FC"/>
          </w:tcPr>
          <w:p>
            <w:pPr>
              <w:ind w:left="600"/>
              <w:spacing w:after="0"/>
              <w:rPr>
                <w:sz w:val="20"/>
                <w:szCs w:val="20"/>
                <w:color w:val="auto"/>
              </w:rPr>
            </w:pPr>
            <w:r>
              <w:rPr>
                <w:rFonts w:ascii="Arial" w:cs="Arial" w:eastAsia="Arial" w:hAnsi="Arial"/>
                <w:sz w:val="15"/>
                <w:szCs w:val="15"/>
                <w:color w:val="auto"/>
              </w:rPr>
              <w:t>Accounts payable</w:t>
            </w:r>
          </w:p>
        </w:tc>
        <w:tc>
          <w:tcPr>
            <w:tcW w:w="98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166</w:t>
            </w: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(1,250)</w:t>
            </w:r>
          </w:p>
        </w:tc>
        <w:tc>
          <w:tcPr>
            <w:tcW w:w="0" w:type="dxa"/>
            <w:vAlign w:val="bottom"/>
          </w:tcPr>
          <w:p>
            <w:pPr>
              <w:spacing w:after="0"/>
              <w:rPr>
                <w:sz w:val="1"/>
                <w:szCs w:val="1"/>
                <w:color w:val="auto"/>
              </w:rPr>
            </w:pPr>
          </w:p>
        </w:tc>
      </w:tr>
      <w:tr>
        <w:trPr>
          <w:trHeight w:val="186"/>
        </w:trPr>
        <w:tc>
          <w:tcPr>
            <w:tcW w:w="7880" w:type="dxa"/>
            <w:vAlign w:val="bottom"/>
          </w:tcPr>
          <w:p>
            <w:pPr>
              <w:ind w:left="600"/>
              <w:spacing w:after="0"/>
              <w:rPr>
                <w:sz w:val="20"/>
                <w:szCs w:val="20"/>
                <w:color w:val="auto"/>
              </w:rPr>
            </w:pPr>
            <w:r>
              <w:rPr>
                <w:rFonts w:ascii="Arial" w:cs="Arial" w:eastAsia="Arial" w:hAnsi="Arial"/>
                <w:sz w:val="15"/>
                <w:szCs w:val="15"/>
                <w:color w:val="auto"/>
              </w:rPr>
              <w:t>Accrued expenses</w:t>
            </w:r>
          </w:p>
        </w:tc>
        <w:tc>
          <w:tcPr>
            <w:tcW w:w="9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1,674</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922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80" w:type="dxa"/>
            <w:vAlign w:val="bottom"/>
            <w:shd w:val="clear" w:color="auto" w:fill="CFF0FC"/>
          </w:tcPr>
          <w:p>
            <w:pPr>
              <w:ind w:left="600"/>
              <w:spacing w:after="0"/>
              <w:rPr>
                <w:sz w:val="20"/>
                <w:szCs w:val="20"/>
                <w:color w:val="auto"/>
              </w:rPr>
            </w:pPr>
            <w:r>
              <w:rPr>
                <w:rFonts w:ascii="Arial" w:cs="Arial" w:eastAsia="Arial" w:hAnsi="Arial"/>
                <w:sz w:val="15"/>
                <w:szCs w:val="15"/>
                <w:color w:val="auto"/>
              </w:rPr>
              <w:t>Deferred rent</w:t>
            </w:r>
          </w:p>
        </w:tc>
        <w:tc>
          <w:tcPr>
            <w:tcW w:w="98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(48)</w:t>
            </w:r>
          </w:p>
        </w:tc>
        <w:tc>
          <w:tcPr>
            <w:tcW w:w="102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186"/>
        </w:trPr>
        <w:tc>
          <w:tcPr>
            <w:tcW w:w="7880" w:type="dxa"/>
            <w:vAlign w:val="bottom"/>
            <w:tcBorders>
              <w:bottom w:val="single" w:sz="8" w:color="CFF0FC"/>
            </w:tcBorders>
          </w:tcPr>
          <w:p>
            <w:pPr>
              <w:ind w:left="600"/>
              <w:spacing w:after="0"/>
              <w:rPr>
                <w:sz w:val="20"/>
                <w:szCs w:val="20"/>
                <w:color w:val="auto"/>
              </w:rPr>
            </w:pPr>
            <w:r>
              <w:rPr>
                <w:rFonts w:ascii="Arial" w:cs="Arial" w:eastAsia="Arial" w:hAnsi="Arial"/>
                <w:sz w:val="15"/>
                <w:szCs w:val="15"/>
                <w:color w:val="auto"/>
              </w:rPr>
              <w:t>Deferred revenue</w:t>
            </w:r>
          </w:p>
        </w:tc>
        <w:tc>
          <w:tcPr>
            <w:tcW w:w="9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10,973</w:t>
            </w:r>
          </w:p>
        </w:tc>
        <w:tc>
          <w:tcPr>
            <w:tcW w:w="280" w:type="dxa"/>
            <w:vAlign w:val="bottom"/>
            <w:tcBorders>
              <w:bottom w:val="single" w:sz="8" w:color="CFF0FC"/>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8,453</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7880" w:type="dxa"/>
            <w:vAlign w:val="bottom"/>
            <w:shd w:val="clear" w:color="auto" w:fill="CFF0FC"/>
          </w:tcPr>
          <w:p>
            <w:pPr>
              <w:ind w:left="800"/>
              <w:spacing w:after="0"/>
              <w:rPr>
                <w:sz w:val="20"/>
                <w:szCs w:val="20"/>
                <w:color w:val="auto"/>
              </w:rPr>
            </w:pPr>
            <w:r>
              <w:rPr>
                <w:rFonts w:ascii="Arial" w:cs="Arial" w:eastAsia="Arial" w:hAnsi="Arial"/>
                <w:sz w:val="15"/>
                <w:szCs w:val="15"/>
                <w:color w:val="auto"/>
              </w:rPr>
              <w:t>Net cash and cash equivalents provided by operating activities</w:t>
            </w:r>
          </w:p>
        </w:tc>
        <w:tc>
          <w:tcPr>
            <w:tcW w:w="98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26,722</w:t>
            </w:r>
          </w:p>
        </w:tc>
        <w:tc>
          <w:tcPr>
            <w:tcW w:w="280" w:type="dxa"/>
            <w:vAlign w:val="bottom"/>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19,092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880" w:type="dxa"/>
            <w:vAlign w:val="bottom"/>
          </w:tcPr>
          <w:p>
            <w:pPr>
              <w:spacing w:after="0"/>
              <w:rPr>
                <w:sz w:val="20"/>
                <w:szCs w:val="20"/>
                <w:color w:val="auto"/>
              </w:rPr>
            </w:pPr>
            <w:r>
              <w:rPr>
                <w:rFonts w:ascii="Arial" w:cs="Arial" w:eastAsia="Arial" w:hAnsi="Arial"/>
                <w:sz w:val="15"/>
                <w:szCs w:val="15"/>
                <w:b w:val="1"/>
                <w:bCs w:val="1"/>
                <w:color w:val="auto"/>
              </w:rPr>
              <w:t>Investing Activities:</w:t>
            </w: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8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Purchases of investments</w:t>
            </w:r>
          </w:p>
        </w:tc>
        <w:tc>
          <w:tcPr>
            <w:tcW w:w="98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w w:val="99"/>
              </w:rPr>
              <w:t>(210,886)</w:t>
            </w:r>
          </w:p>
        </w:tc>
        <w:tc>
          <w:tcPr>
            <w:tcW w:w="102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(16,367)</w:t>
            </w:r>
          </w:p>
        </w:tc>
        <w:tc>
          <w:tcPr>
            <w:tcW w:w="0" w:type="dxa"/>
            <w:vAlign w:val="bottom"/>
          </w:tcPr>
          <w:p>
            <w:pPr>
              <w:spacing w:after="0"/>
              <w:rPr>
                <w:sz w:val="1"/>
                <w:szCs w:val="1"/>
                <w:color w:val="auto"/>
              </w:rPr>
            </w:pPr>
          </w:p>
        </w:tc>
      </w:tr>
      <w:tr>
        <w:trPr>
          <w:trHeight w:val="186"/>
        </w:trPr>
        <w:tc>
          <w:tcPr>
            <w:tcW w:w="7880" w:type="dxa"/>
            <w:vAlign w:val="bottom"/>
          </w:tcPr>
          <w:p>
            <w:pPr>
              <w:ind w:left="200"/>
              <w:spacing w:after="0"/>
              <w:rPr>
                <w:sz w:val="20"/>
                <w:szCs w:val="20"/>
                <w:color w:val="auto"/>
              </w:rPr>
            </w:pPr>
            <w:r>
              <w:rPr>
                <w:rFonts w:ascii="Arial" w:cs="Arial" w:eastAsia="Arial" w:hAnsi="Arial"/>
                <w:sz w:val="15"/>
                <w:szCs w:val="15"/>
                <w:color w:val="auto"/>
              </w:rPr>
              <w:t>Maturities of investments</w:t>
            </w:r>
          </w:p>
        </w:tc>
        <w:tc>
          <w:tcPr>
            <w:tcW w:w="9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256,250</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15,860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Purchases of property and equipment</w:t>
            </w:r>
          </w:p>
        </w:tc>
        <w:tc>
          <w:tcPr>
            <w:tcW w:w="98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(6,239)</w:t>
            </w:r>
          </w:p>
        </w:tc>
        <w:tc>
          <w:tcPr>
            <w:tcW w:w="102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(5,835)</w:t>
            </w:r>
          </w:p>
        </w:tc>
        <w:tc>
          <w:tcPr>
            <w:tcW w:w="0" w:type="dxa"/>
            <w:vAlign w:val="bottom"/>
          </w:tcPr>
          <w:p>
            <w:pPr>
              <w:spacing w:after="0"/>
              <w:rPr>
                <w:sz w:val="1"/>
                <w:szCs w:val="1"/>
                <w:color w:val="auto"/>
              </w:rPr>
            </w:pPr>
          </w:p>
        </w:tc>
      </w:tr>
      <w:tr>
        <w:trPr>
          <w:trHeight w:val="186"/>
        </w:trPr>
        <w:tc>
          <w:tcPr>
            <w:tcW w:w="7880" w:type="dxa"/>
            <w:vAlign w:val="bottom"/>
          </w:tcPr>
          <w:p>
            <w:pPr>
              <w:ind w:left="200"/>
              <w:spacing w:after="0"/>
              <w:rPr>
                <w:sz w:val="20"/>
                <w:szCs w:val="20"/>
                <w:color w:val="auto"/>
              </w:rPr>
            </w:pPr>
            <w:r>
              <w:rPr>
                <w:rFonts w:ascii="Arial" w:cs="Arial" w:eastAsia="Arial" w:hAnsi="Arial"/>
                <w:sz w:val="15"/>
                <w:szCs w:val="15"/>
                <w:color w:val="auto"/>
              </w:rPr>
              <w:t>Capitalization of software development costs</w:t>
            </w:r>
          </w:p>
        </w:tc>
        <w:tc>
          <w:tcPr>
            <w:tcW w:w="98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5"/>
                <w:szCs w:val="15"/>
                <w:color w:val="auto"/>
              </w:rPr>
              <w:t>(2,616)</w:t>
            </w:r>
          </w:p>
        </w:tc>
        <w:tc>
          <w:tcPr>
            <w:tcW w:w="102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(1,610)</w:t>
            </w:r>
          </w:p>
        </w:tc>
        <w:tc>
          <w:tcPr>
            <w:tcW w:w="0" w:type="dxa"/>
            <w:vAlign w:val="bottom"/>
          </w:tcPr>
          <w:p>
            <w:pPr>
              <w:spacing w:after="0"/>
              <w:rPr>
                <w:sz w:val="1"/>
                <w:szCs w:val="1"/>
                <w:color w:val="auto"/>
              </w:rPr>
            </w:pPr>
          </w:p>
        </w:tc>
      </w:tr>
      <w:tr>
        <w:trPr>
          <w:trHeight w:val="186"/>
        </w:trPr>
        <w:tc>
          <w:tcPr>
            <w:tcW w:w="78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Purchases of strategic investments</w:t>
            </w:r>
          </w:p>
        </w:tc>
        <w:tc>
          <w:tcPr>
            <w:tcW w:w="98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(250)</w:t>
            </w:r>
          </w:p>
        </w:tc>
        <w:tc>
          <w:tcPr>
            <w:tcW w:w="102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880" w:type="dxa"/>
            <w:vAlign w:val="bottom"/>
            <w:vMerge w:val="restart"/>
          </w:tcPr>
          <w:p>
            <w:pPr>
              <w:ind w:left="800"/>
              <w:spacing w:after="0"/>
              <w:rPr>
                <w:sz w:val="20"/>
                <w:szCs w:val="20"/>
                <w:color w:val="auto"/>
              </w:rPr>
            </w:pPr>
            <w:r>
              <w:rPr>
                <w:rFonts w:ascii="Arial" w:cs="Arial" w:eastAsia="Arial" w:hAnsi="Arial"/>
                <w:sz w:val="15"/>
                <w:szCs w:val="15"/>
                <w:color w:val="auto"/>
              </w:rPr>
              <w:t>Net cash and cash equivalents provided by (used in) investing activities</w:t>
            </w: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8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36,259</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(7,952)</w:t>
            </w:r>
          </w:p>
        </w:tc>
        <w:tc>
          <w:tcPr>
            <w:tcW w:w="0" w:type="dxa"/>
            <w:vAlign w:val="bottom"/>
          </w:tcPr>
          <w:p>
            <w:pPr>
              <w:spacing w:after="0"/>
              <w:rPr>
                <w:sz w:val="1"/>
                <w:szCs w:val="1"/>
                <w:color w:val="auto"/>
              </w:rPr>
            </w:pPr>
          </w:p>
        </w:tc>
      </w:tr>
      <w:tr>
        <w:trPr>
          <w:trHeight w:val="177"/>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b w:val="1"/>
                <w:bCs w:val="1"/>
                <w:color w:val="auto"/>
              </w:rPr>
              <w:t>Financing Activities:</w:t>
            </w:r>
          </w:p>
        </w:tc>
        <w:tc>
          <w:tcPr>
            <w:tcW w:w="98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280" w:type="dxa"/>
            <w:vAlign w:val="bottom"/>
            <w:tcBorders>
              <w:top w:val="single" w:sz="8" w:color="CFF0FC"/>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880" w:type="dxa"/>
            <w:vAlign w:val="bottom"/>
          </w:tcPr>
          <w:p>
            <w:pPr>
              <w:ind w:left="200"/>
              <w:spacing w:after="0"/>
              <w:rPr>
                <w:sz w:val="20"/>
                <w:szCs w:val="20"/>
                <w:color w:val="auto"/>
              </w:rPr>
            </w:pPr>
            <w:r>
              <w:rPr>
                <w:rFonts w:ascii="Arial" w:cs="Arial" w:eastAsia="Arial" w:hAnsi="Arial"/>
                <w:sz w:val="15"/>
                <w:szCs w:val="15"/>
                <w:color w:val="auto"/>
              </w:rPr>
              <w:t>Employee taxes paid related to the net share settlement of stock-based awards</w:t>
            </w:r>
          </w:p>
        </w:tc>
        <w:tc>
          <w:tcPr>
            <w:tcW w:w="98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5"/>
                <w:szCs w:val="15"/>
                <w:color w:val="auto"/>
              </w:rPr>
              <w:t>(2,344)</w:t>
            </w:r>
          </w:p>
        </w:tc>
        <w:tc>
          <w:tcPr>
            <w:tcW w:w="102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(1,153)</w:t>
            </w:r>
          </w:p>
        </w:tc>
        <w:tc>
          <w:tcPr>
            <w:tcW w:w="0" w:type="dxa"/>
            <w:vAlign w:val="bottom"/>
          </w:tcPr>
          <w:p>
            <w:pPr>
              <w:spacing w:after="0"/>
              <w:rPr>
                <w:sz w:val="1"/>
                <w:szCs w:val="1"/>
                <w:color w:val="auto"/>
              </w:rPr>
            </w:pPr>
          </w:p>
        </w:tc>
      </w:tr>
      <w:tr>
        <w:trPr>
          <w:trHeight w:val="186"/>
        </w:trPr>
        <w:tc>
          <w:tcPr>
            <w:tcW w:w="78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Proceeds related to the issuance of common stock under stock plans</w:t>
            </w:r>
          </w:p>
        </w:tc>
        <w:tc>
          <w:tcPr>
            <w:tcW w:w="98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6,113</w:t>
            </w: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4,340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80" w:type="dxa"/>
            <w:vAlign w:val="bottom"/>
          </w:tcPr>
          <w:p>
            <w:pPr>
              <w:ind w:left="200"/>
              <w:spacing w:after="0"/>
              <w:rPr>
                <w:sz w:val="20"/>
                <w:szCs w:val="20"/>
                <w:color w:val="auto"/>
              </w:rPr>
            </w:pPr>
            <w:r>
              <w:rPr>
                <w:rFonts w:ascii="Arial" w:cs="Arial" w:eastAsia="Arial" w:hAnsi="Arial"/>
                <w:sz w:val="15"/>
                <w:szCs w:val="15"/>
                <w:color w:val="auto"/>
              </w:rPr>
              <w:t>Repayments of capital lease obligations</w:t>
            </w:r>
          </w:p>
        </w:tc>
        <w:tc>
          <w:tcPr>
            <w:tcW w:w="98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5"/>
                <w:szCs w:val="15"/>
                <w:color w:val="auto"/>
              </w:rPr>
              <w:t>(212)</w:t>
            </w:r>
          </w:p>
        </w:tc>
        <w:tc>
          <w:tcPr>
            <w:tcW w:w="102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(240)</w:t>
            </w:r>
          </w:p>
        </w:tc>
        <w:tc>
          <w:tcPr>
            <w:tcW w:w="0" w:type="dxa"/>
            <w:vAlign w:val="bottom"/>
          </w:tcPr>
          <w:p>
            <w:pPr>
              <w:spacing w:after="0"/>
              <w:rPr>
                <w:sz w:val="1"/>
                <w:szCs w:val="1"/>
                <w:color w:val="auto"/>
              </w:rPr>
            </w:pPr>
          </w:p>
        </w:tc>
      </w:tr>
      <w:tr>
        <w:trPr>
          <w:trHeight w:val="177"/>
        </w:trPr>
        <w:tc>
          <w:tcPr>
            <w:tcW w:w="7880" w:type="dxa"/>
            <w:vAlign w:val="bottom"/>
            <w:tcBorders>
              <w:top w:val="single" w:sz="8" w:color="CFF0FC"/>
            </w:tcBorders>
            <w:shd w:val="clear" w:color="auto" w:fill="CFF0FC"/>
          </w:tcPr>
          <w:p>
            <w:pPr>
              <w:ind w:left="800"/>
              <w:spacing w:after="0"/>
              <w:rPr>
                <w:sz w:val="20"/>
                <w:szCs w:val="20"/>
                <w:color w:val="auto"/>
              </w:rPr>
            </w:pPr>
            <w:r>
              <w:rPr>
                <w:rFonts w:ascii="Arial" w:cs="Arial" w:eastAsia="Arial" w:hAnsi="Arial"/>
                <w:sz w:val="15"/>
                <w:szCs w:val="15"/>
                <w:color w:val="auto"/>
              </w:rPr>
              <w:t>Net cash and cash equivalents provided by financing activities</w:t>
            </w:r>
          </w:p>
        </w:tc>
        <w:tc>
          <w:tcPr>
            <w:tcW w:w="980" w:type="dxa"/>
            <w:vAlign w:val="bottom"/>
            <w:tcBorders>
              <w:top w:val="single" w:sz="8" w:color="auto"/>
              <w:bottom w:val="single" w:sz="8" w:color="auto"/>
            </w:tcBorders>
            <w:shd w:val="clear" w:color="auto" w:fill="CFF0FC"/>
          </w:tcPr>
          <w:p>
            <w:pPr>
              <w:spacing w:after="0"/>
              <w:rPr>
                <w:sz w:val="15"/>
                <w:szCs w:val="15"/>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3,557</w:t>
            </w:r>
          </w:p>
        </w:tc>
        <w:tc>
          <w:tcPr>
            <w:tcW w:w="280" w:type="dxa"/>
            <w:vAlign w:val="bottom"/>
            <w:tcBorders>
              <w:top w:val="single" w:sz="8" w:color="CFF0FC"/>
            </w:tcBorders>
            <w:shd w:val="clear" w:color="auto" w:fill="CFF0FC"/>
          </w:tcPr>
          <w:p>
            <w:pPr>
              <w:spacing w:after="0"/>
              <w:rPr>
                <w:sz w:val="15"/>
                <w:szCs w:val="15"/>
                <w:color w:val="auto"/>
              </w:rPr>
            </w:pPr>
          </w:p>
        </w:tc>
        <w:tc>
          <w:tcPr>
            <w:tcW w:w="1020" w:type="dxa"/>
            <w:vAlign w:val="bottom"/>
            <w:tcBorders>
              <w:top w:val="single" w:sz="8" w:color="auto"/>
              <w:bottom w:val="single" w:sz="8" w:color="auto"/>
            </w:tcBorders>
            <w:shd w:val="clear" w:color="auto" w:fill="CFF0FC"/>
          </w:tcPr>
          <w:p>
            <w:pPr>
              <w:spacing w:after="0"/>
              <w:rPr>
                <w:sz w:val="15"/>
                <w:szCs w:val="15"/>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2,947</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88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Effect of exchange rate changes on cash, cash equivalents, and restricted cash</w:t>
            </w:r>
          </w:p>
        </w:tc>
        <w:tc>
          <w:tcPr>
            <w:tcW w:w="9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677</w:t>
            </w:r>
          </w:p>
        </w:tc>
        <w:tc>
          <w:tcPr>
            <w:tcW w:w="28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454</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880" w:type="dxa"/>
            <w:vAlign w:val="bottom"/>
            <w:shd w:val="clear" w:color="auto" w:fill="CFF0FC"/>
          </w:tcPr>
          <w:p>
            <w:pPr>
              <w:spacing w:after="0"/>
              <w:rPr>
                <w:sz w:val="20"/>
                <w:szCs w:val="20"/>
                <w:color w:val="auto"/>
              </w:rPr>
            </w:pPr>
            <w:r>
              <w:rPr>
                <w:rFonts w:ascii="Arial" w:cs="Arial" w:eastAsia="Arial" w:hAnsi="Arial"/>
                <w:sz w:val="15"/>
                <w:szCs w:val="15"/>
                <w:color w:val="auto"/>
              </w:rPr>
              <w:t>Net increase in cash, cash equivalents, and restricted cash</w:t>
            </w:r>
          </w:p>
        </w:tc>
        <w:tc>
          <w:tcPr>
            <w:tcW w:w="9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67,215</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14,541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88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Cash, cash equivalents and restricted cash, beginning of period</w:t>
            </w:r>
          </w:p>
        </w:tc>
        <w:tc>
          <w:tcPr>
            <w:tcW w:w="9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92,784</w:t>
            </w:r>
          </w:p>
        </w:tc>
        <w:tc>
          <w:tcPr>
            <w:tcW w:w="280" w:type="dxa"/>
            <w:vAlign w:val="bottom"/>
            <w:tcBorders>
              <w:bottom w:val="single" w:sz="8" w:color="CFF0FC"/>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60,185</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7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color w:val="auto"/>
              </w:rPr>
              <w:t>Cash, cash equivalents and restricted cash, end of period</w:t>
            </w:r>
          </w:p>
        </w:tc>
        <w:tc>
          <w:tcPr>
            <w:tcW w:w="980" w:type="dxa"/>
            <w:vAlign w:val="bottom"/>
            <w:tcBorders>
              <w:bottom w:val="single" w:sz="8" w:color="auto"/>
            </w:tcBorders>
            <w:shd w:val="clear" w:color="auto" w:fill="CFF0FC"/>
          </w:tcPr>
          <w:p>
            <w:pPr>
              <w:jc w:val="right"/>
              <w:ind w:right="866"/>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159,999</w:t>
            </w:r>
          </w:p>
        </w:tc>
        <w:tc>
          <w:tcPr>
            <w:tcW w:w="28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ind w:right="869"/>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74,726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5"/>
                <w:szCs w:val="15"/>
                <w:b w:val="1"/>
                <w:bCs w:val="1"/>
                <w:color w:val="auto"/>
              </w:rPr>
              <w:t>Supplemental cash flow disclosure:</w:t>
            </w: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88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7880" w:type="dxa"/>
            <w:vAlign w:val="bottom"/>
            <w:shd w:val="clear" w:color="auto" w:fill="CFF0FC"/>
          </w:tcPr>
          <w:p>
            <w:pPr>
              <w:spacing w:after="0"/>
              <w:rPr>
                <w:sz w:val="20"/>
                <w:szCs w:val="20"/>
                <w:color w:val="auto"/>
              </w:rPr>
            </w:pPr>
            <w:r>
              <w:rPr>
                <w:rFonts w:ascii="Arial" w:cs="Arial" w:eastAsia="Arial" w:hAnsi="Arial"/>
                <w:sz w:val="15"/>
                <w:szCs w:val="15"/>
                <w:color w:val="auto"/>
              </w:rPr>
              <w:t>Cash paid for interest</w:t>
            </w:r>
          </w:p>
        </w:tc>
        <w:tc>
          <w:tcPr>
            <w:tcW w:w="980" w:type="dxa"/>
            <w:vAlign w:val="bottom"/>
            <w:shd w:val="clear" w:color="auto" w:fill="CFF0FC"/>
          </w:tcPr>
          <w:p>
            <w:pPr>
              <w:jc w:val="right"/>
              <w:ind w:right="866"/>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w:t>
            </w: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869"/>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80" w:type="dxa"/>
            <w:vAlign w:val="bottom"/>
          </w:tcPr>
          <w:p>
            <w:pPr>
              <w:spacing w:after="0"/>
              <w:rPr>
                <w:sz w:val="20"/>
                <w:szCs w:val="20"/>
                <w:color w:val="auto"/>
              </w:rPr>
            </w:pPr>
            <w:r>
              <w:rPr>
                <w:rFonts w:ascii="Arial" w:cs="Arial" w:eastAsia="Arial" w:hAnsi="Arial"/>
                <w:sz w:val="15"/>
                <w:szCs w:val="15"/>
                <w:color w:val="auto"/>
              </w:rPr>
              <w:t>Cash paid for income taxes</w:t>
            </w:r>
          </w:p>
        </w:tc>
        <w:tc>
          <w:tcPr>
            <w:tcW w:w="980" w:type="dxa"/>
            <w:vAlign w:val="bottom"/>
          </w:tcPr>
          <w:p>
            <w:pPr>
              <w:jc w:val="right"/>
              <w:ind w:right="866"/>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45</w:t>
            </w:r>
          </w:p>
        </w:tc>
        <w:tc>
          <w:tcPr>
            <w:tcW w:w="280" w:type="dxa"/>
            <w:vAlign w:val="bottom"/>
          </w:tcPr>
          <w:p>
            <w:pPr>
              <w:spacing w:after="0"/>
              <w:rPr>
                <w:sz w:val="16"/>
                <w:szCs w:val="16"/>
                <w:color w:val="auto"/>
              </w:rPr>
            </w:pPr>
          </w:p>
        </w:tc>
        <w:tc>
          <w:tcPr>
            <w:tcW w:w="1020" w:type="dxa"/>
            <w:vAlign w:val="bottom"/>
          </w:tcPr>
          <w:p>
            <w:pPr>
              <w:jc w:val="right"/>
              <w:ind w:right="869"/>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8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Non-cash investing and financing activities:</w:t>
            </w:r>
          </w:p>
        </w:tc>
        <w:tc>
          <w:tcPr>
            <w:tcW w:w="9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80" w:type="dxa"/>
            <w:vAlign w:val="bottom"/>
          </w:tcPr>
          <w:p>
            <w:pPr>
              <w:spacing w:after="0"/>
              <w:rPr>
                <w:sz w:val="20"/>
                <w:szCs w:val="20"/>
                <w:color w:val="auto"/>
              </w:rPr>
            </w:pPr>
            <w:r>
              <w:rPr>
                <w:rFonts w:ascii="Arial" w:cs="Arial" w:eastAsia="Arial" w:hAnsi="Arial"/>
                <w:sz w:val="15"/>
                <w:szCs w:val="15"/>
                <w:color w:val="auto"/>
              </w:rPr>
              <w:t>Property and equipment acquired under capital lease</w:t>
            </w:r>
          </w:p>
        </w:tc>
        <w:tc>
          <w:tcPr>
            <w:tcW w:w="980" w:type="dxa"/>
            <w:vAlign w:val="bottom"/>
          </w:tcPr>
          <w:p>
            <w:pPr>
              <w:jc w:val="right"/>
              <w:ind w:right="866"/>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869"/>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247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80" w:type="dxa"/>
            <w:vAlign w:val="bottom"/>
            <w:shd w:val="clear" w:color="auto" w:fill="CFF0FC"/>
          </w:tcPr>
          <w:p>
            <w:pPr>
              <w:spacing w:after="0"/>
              <w:rPr>
                <w:sz w:val="20"/>
                <w:szCs w:val="20"/>
                <w:color w:val="auto"/>
              </w:rPr>
            </w:pPr>
            <w:r>
              <w:rPr>
                <w:rFonts w:ascii="Arial" w:cs="Arial" w:eastAsia="Arial" w:hAnsi="Arial"/>
                <w:sz w:val="15"/>
                <w:szCs w:val="15"/>
                <w:color w:val="auto"/>
              </w:rPr>
              <w:t>Capital expenditures incurred but not yet paid</w:t>
            </w:r>
          </w:p>
        </w:tc>
        <w:tc>
          <w:tcPr>
            <w:tcW w:w="980" w:type="dxa"/>
            <w:vAlign w:val="bottom"/>
            <w:shd w:val="clear" w:color="auto" w:fill="CFF0FC"/>
          </w:tcPr>
          <w:p>
            <w:pPr>
              <w:jc w:val="right"/>
              <w:ind w:right="866"/>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1,382</w:t>
            </w: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869"/>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1,525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880" w:type="dxa"/>
            <w:vAlign w:val="bottom"/>
          </w:tcPr>
          <w:p>
            <w:pPr>
              <w:spacing w:after="0"/>
              <w:rPr>
                <w:sz w:val="20"/>
                <w:szCs w:val="20"/>
                <w:color w:val="auto"/>
              </w:rPr>
            </w:pPr>
            <w:r>
              <w:rPr>
                <w:rFonts w:ascii="Arial" w:cs="Arial" w:eastAsia="Arial" w:hAnsi="Arial"/>
                <w:sz w:val="15"/>
                <w:szCs w:val="15"/>
                <w:color w:val="auto"/>
              </w:rPr>
              <w:t>Asset retirement obligations</w:t>
            </w:r>
          </w:p>
        </w:tc>
        <w:tc>
          <w:tcPr>
            <w:tcW w:w="980" w:type="dxa"/>
            <w:vAlign w:val="bottom"/>
          </w:tcPr>
          <w:p>
            <w:pPr>
              <w:jc w:val="right"/>
              <w:ind w:right="866"/>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101</w:t>
            </w:r>
          </w:p>
        </w:tc>
        <w:tc>
          <w:tcPr>
            <w:tcW w:w="280" w:type="dxa"/>
            <w:vAlign w:val="bottom"/>
          </w:tcPr>
          <w:p>
            <w:pPr>
              <w:spacing w:after="0"/>
              <w:rPr>
                <w:sz w:val="16"/>
                <w:szCs w:val="16"/>
                <w:color w:val="auto"/>
              </w:rPr>
            </w:pPr>
          </w:p>
        </w:tc>
        <w:tc>
          <w:tcPr>
            <w:tcW w:w="1020" w:type="dxa"/>
            <w:vAlign w:val="bottom"/>
          </w:tcPr>
          <w:p>
            <w:pPr>
              <w:jc w:val="right"/>
              <w:ind w:right="869"/>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The accompanying notes are an integral part of the consolidated financial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1390" cy="39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60"/>
          </w:cols>
          <w:pgMar w:left="220" w:top="300" w:right="219" w:bottom="1440" w:gutter="0" w:footer="0" w:header="0"/>
        </w:sectPr>
      </w:pPr>
    </w:p>
    <w:bookmarkStart w:id="8" w:name="page9"/>
    <w:bookmarkEnd w:id="8"/>
    <w:p>
      <w:pPr>
        <w:jc w:val="center"/>
        <w:spacing w:after="0"/>
        <w:rPr>
          <w:sz w:val="20"/>
          <w:szCs w:val="20"/>
          <w:color w:val="auto"/>
        </w:rPr>
      </w:pPr>
      <w:r>
        <w:rPr>
          <w:rFonts w:ascii="Arial" w:cs="Arial" w:eastAsia="Arial" w:hAnsi="Arial"/>
          <w:sz w:val="15"/>
          <w:szCs w:val="15"/>
          <w:b w:val="1"/>
          <w:bCs w:val="1"/>
          <w:color w:val="auto"/>
        </w:rPr>
        <w:t>HubSpot,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Organization and Operations</w:t>
      </w:r>
    </w:p>
    <w:p>
      <w:pPr>
        <w:spacing w:after="0" w:line="95" w:lineRule="exact"/>
        <w:rPr>
          <w:sz w:val="20"/>
          <w:szCs w:val="20"/>
          <w:color w:val="auto"/>
        </w:rPr>
      </w:pPr>
    </w:p>
    <w:p>
      <w:pPr>
        <w:ind w:firstLine="520"/>
        <w:spacing w:after="0" w:line="311" w:lineRule="auto"/>
        <w:rPr>
          <w:sz w:val="20"/>
          <w:szCs w:val="20"/>
          <w:color w:val="auto"/>
        </w:rPr>
      </w:pPr>
      <w:r>
        <w:rPr>
          <w:rFonts w:ascii="Arial" w:cs="Arial" w:eastAsia="Arial" w:hAnsi="Arial"/>
          <w:sz w:val="13"/>
          <w:szCs w:val="13"/>
          <w:color w:val="auto"/>
        </w:rPr>
        <w:t>HubSpot, Inc. (the “Company”) provides a cloud-based inbound marketing, sales and customer service platform which features integrated applications to help businesses attract visitors to their websites, convert visitors into leads, close leads into customers and delight customers so they become promoters of those businesses. These integrated applications include social media, search engine optimization, blogging, website content management, marketing automation, email, sales productivity, CRM, analytics, reporting, helpdesk, chat, and knowledge base.</w:t>
      </w:r>
    </w:p>
    <w:p>
      <w:pPr>
        <w:spacing w:after="0" w:line="121" w:lineRule="exact"/>
        <w:rPr>
          <w:sz w:val="20"/>
          <w:szCs w:val="20"/>
          <w:color w:val="auto"/>
        </w:rPr>
      </w:pPr>
    </w:p>
    <w:p>
      <w:pPr>
        <w:ind w:firstLine="520"/>
        <w:spacing w:after="0" w:line="271" w:lineRule="auto"/>
        <w:rPr>
          <w:sz w:val="20"/>
          <w:szCs w:val="20"/>
          <w:color w:val="auto"/>
        </w:rPr>
      </w:pPr>
      <w:r>
        <w:rPr>
          <w:rFonts w:ascii="Arial" w:cs="Arial" w:eastAsia="Arial" w:hAnsi="Arial"/>
          <w:sz w:val="14"/>
          <w:szCs w:val="14"/>
          <w:color w:val="auto"/>
        </w:rPr>
        <w:t>The accompanying unaudited consolidated financial statements have been prepared in accordance with generally accepted accounting principles in the United States (“GAAP”) applicable to interim periods, under the rules and regulations of the United States Securities and Exchange Commission (“SEC”). In the opinion of management, the Company has prepared the accompanying unaudited consolidated financial statements on a basis substantially consistent with the audited consolidated financial statements of the Company as of and for the year ended December 31, 2017, and these consolidated financial statements include all adjustments, consisting only of normal recurring adjustments, necessary for a fair statement of the results of the interim periods presented. All intercompany balances and transactions have been eliminated in consolidation.</w:t>
      </w:r>
    </w:p>
    <w:p>
      <w:pPr>
        <w:spacing w:after="0" w:line="144" w:lineRule="exact"/>
        <w:rPr>
          <w:sz w:val="20"/>
          <w:szCs w:val="20"/>
          <w:color w:val="auto"/>
        </w:rPr>
      </w:pPr>
    </w:p>
    <w:p>
      <w:pPr>
        <w:ind w:firstLine="520"/>
        <w:spacing w:after="0" w:line="280" w:lineRule="auto"/>
        <w:rPr>
          <w:sz w:val="20"/>
          <w:szCs w:val="20"/>
          <w:color w:val="auto"/>
        </w:rPr>
      </w:pPr>
      <w:r>
        <w:rPr>
          <w:rFonts w:ascii="Arial" w:cs="Arial" w:eastAsia="Arial" w:hAnsi="Arial"/>
          <w:sz w:val="14"/>
          <w:szCs w:val="14"/>
          <w:color w:val="auto"/>
        </w:rPr>
        <w:t>The results of operations for the interim periods presented are not necessarily indicative of the results to be expected for any subsequent quarter or for the entire year ending December 31, 2018. The year-end balance sheet data was derived from audited financial statements, but this Form 10-Q does not include all disclosures required under GAAP. Certain information and note disclosures normally included in annual financial statements prepared in accordance with GAAP have been omitted under the rules and regulations of the SEC.</w:t>
      </w:r>
    </w:p>
    <w:p>
      <w:pPr>
        <w:spacing w:after="0" w:line="139" w:lineRule="exact"/>
        <w:rPr>
          <w:sz w:val="20"/>
          <w:szCs w:val="20"/>
          <w:color w:val="auto"/>
        </w:rPr>
      </w:pPr>
    </w:p>
    <w:p>
      <w:pPr>
        <w:ind w:right="60" w:firstLine="520"/>
        <w:spacing w:after="0" w:line="250" w:lineRule="auto"/>
        <w:rPr>
          <w:sz w:val="20"/>
          <w:szCs w:val="20"/>
          <w:color w:val="auto"/>
        </w:rPr>
      </w:pPr>
      <w:r>
        <w:rPr>
          <w:rFonts w:ascii="Arial" w:cs="Arial" w:eastAsia="Arial" w:hAnsi="Arial"/>
          <w:sz w:val="15"/>
          <w:szCs w:val="15"/>
          <w:color w:val="auto"/>
        </w:rPr>
        <w:t>These interim financial statements should be read in conjunction with the audited consolidated financial statements and related notes contained in the Company’s Annual Report on Form 10-K filed with the SEC on February 13, 2018. There have been no changes in the Company’s significant accounting policies from those that were disclosed in the Company’s Annual Report on Form 10-K that have had a material impact on our consolidated financial statements and related notes, except the adoption of updated guidance related to revenue recognition and costs to obtain a contract with a customer as described within Note 2 of these consolidated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Recent Accounting Pronouncements</w:t>
      </w:r>
    </w:p>
    <w:p>
      <w:pPr>
        <w:spacing w:after="0" w:line="91" w:lineRule="exact"/>
        <w:rPr>
          <w:sz w:val="20"/>
          <w:szCs w:val="20"/>
          <w:color w:val="auto"/>
        </w:rPr>
      </w:pPr>
    </w:p>
    <w:p>
      <w:pPr>
        <w:ind w:left="520"/>
        <w:spacing w:after="0"/>
        <w:rPr>
          <w:sz w:val="20"/>
          <w:szCs w:val="20"/>
          <w:color w:val="auto"/>
        </w:rPr>
      </w:pPr>
      <w:r>
        <w:rPr>
          <w:rFonts w:ascii="Arial" w:cs="Arial" w:eastAsia="Arial" w:hAnsi="Arial"/>
          <w:sz w:val="15"/>
          <w:szCs w:val="15"/>
          <w:color w:val="auto"/>
        </w:rPr>
        <w:t>Recent accounting standards not included below are not expected to have a material impact on our consolidated financial position and results of operations.</w:t>
      </w:r>
    </w:p>
    <w:p>
      <w:pPr>
        <w:spacing w:after="0" w:line="179" w:lineRule="exact"/>
        <w:rPr>
          <w:sz w:val="20"/>
          <w:szCs w:val="20"/>
          <w:color w:val="auto"/>
        </w:rPr>
      </w:pPr>
    </w:p>
    <w:p>
      <w:pPr>
        <w:ind w:right="140" w:firstLine="520"/>
        <w:spacing w:after="0" w:line="248" w:lineRule="auto"/>
        <w:rPr>
          <w:sz w:val="20"/>
          <w:szCs w:val="20"/>
          <w:color w:val="auto"/>
        </w:rPr>
      </w:pPr>
      <w:r>
        <w:rPr>
          <w:rFonts w:ascii="Arial" w:cs="Arial" w:eastAsia="Arial" w:hAnsi="Arial"/>
          <w:sz w:val="15"/>
          <w:szCs w:val="15"/>
          <w:color w:val="auto"/>
        </w:rPr>
        <w:t>In January 2017, the Financial Accounting Standards Board (“FASB”) issued guidance simplifying the accounting for goodwill impairment by removing Step 2 of the goodwill impairment test. Under current guidance, Step 2 of the goodwill impairment test requires entities to calculate the implied fair value of goodwill in the same manner as the amount of goodwill recognized in a business combination by assigning the fair value of a reporting unit to all of the assets and liabilities of the reporting unit. The carrying value in excess of the implied fair value is recognized as goodwill impairment. Under the new standard, goodwill impairment is recognized based on Step 1 of the current guidance, which calculates the carrying value in excess of the reporting unit’s fair value. The new standard is effective beginning in January 2020, with early adoption permitted. The Company does not believe the adoption of this guidance will have a material impact on our consolidated financial statements.</w:t>
      </w:r>
    </w:p>
    <w:p>
      <w:pPr>
        <w:spacing w:after="0" w:line="159" w:lineRule="exact"/>
        <w:rPr>
          <w:sz w:val="20"/>
          <w:szCs w:val="20"/>
          <w:color w:val="auto"/>
        </w:rPr>
      </w:pPr>
    </w:p>
    <w:p>
      <w:pPr>
        <w:jc w:val="both"/>
        <w:ind w:firstLine="572"/>
        <w:spacing w:after="0" w:line="248" w:lineRule="auto"/>
        <w:rPr>
          <w:sz w:val="20"/>
          <w:szCs w:val="20"/>
          <w:color w:val="auto"/>
        </w:rPr>
      </w:pPr>
      <w:r>
        <w:rPr>
          <w:rFonts w:ascii="Arial" w:cs="Arial" w:eastAsia="Arial" w:hAnsi="Arial"/>
          <w:sz w:val="15"/>
          <w:szCs w:val="15"/>
          <w:color w:val="auto"/>
        </w:rPr>
        <w:t>In November 2016, the FASB issued guidance related to the presentation of restricted cash within the statement of cash flows. The guidance requires entities to show the changes in cash, cash equivalents, and restricted cash in the statement of cash flows. Entities will no longer present transfers between cash and cash equivalents and restricted cash in the statement of cash flows. The Company adopted the updated guidance as of January 1, 2018. As a result of adopting this guidance cash and cash equivalents provided by (used in) investing activities increased by $864 thousand and net increase in cash, cash equivalents, and restricted cash also increased by $864 thousand for the three months ended March 31, 2018. Cash and cash equivalent provided by (used in) investing activities increased by $4.4 million and net increase in cash, cash equivalents, and restricted cash increased by $4.5 million for the three months ended March 31, 2017 in the consolidated statements of cash flows.</w:t>
      </w:r>
    </w:p>
    <w:p>
      <w:pPr>
        <w:spacing w:after="0" w:line="159" w:lineRule="exact"/>
        <w:rPr>
          <w:sz w:val="20"/>
          <w:szCs w:val="20"/>
          <w:color w:val="auto"/>
        </w:rPr>
      </w:pPr>
    </w:p>
    <w:p>
      <w:pPr>
        <w:jc w:val="both"/>
        <w:ind w:firstLine="572"/>
        <w:spacing w:after="0" w:line="263" w:lineRule="auto"/>
        <w:rPr>
          <w:sz w:val="20"/>
          <w:szCs w:val="20"/>
          <w:color w:val="auto"/>
        </w:rPr>
      </w:pPr>
      <w:r>
        <w:rPr>
          <w:rFonts w:ascii="Arial" w:cs="Arial" w:eastAsia="Arial" w:hAnsi="Arial"/>
          <w:sz w:val="15"/>
          <w:szCs w:val="15"/>
          <w:color w:val="auto"/>
        </w:rPr>
        <w:t>In February 2016, the FASB issued guidance that requires lessees to recognize most leases on their balance sheets but record expenses on their income statements in a manner similar to current accounting. For lessors, the guidance modifies the classification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1390" cy="39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60"/>
          </w:cols>
          <w:pgMar w:left="220" w:top="300" w:right="219" w:bottom="1440" w:gutter="0" w:footer="0" w:header="0"/>
        </w:sectPr>
      </w:pPr>
    </w:p>
    <w:bookmarkStart w:id="9" w:name="page10"/>
    <w:bookmarkEnd w:id="9"/>
    <w:p>
      <w:pPr>
        <w:spacing w:after="0" w:line="263" w:lineRule="auto"/>
        <w:rPr>
          <w:sz w:val="20"/>
          <w:szCs w:val="20"/>
          <w:color w:val="auto"/>
        </w:rPr>
      </w:pPr>
      <w:r>
        <w:rPr>
          <w:rFonts w:ascii="Arial" w:cs="Arial" w:eastAsia="Arial" w:hAnsi="Arial"/>
          <w:sz w:val="15"/>
          <w:szCs w:val="15"/>
          <w:color w:val="auto"/>
        </w:rPr>
        <w:t>criteria and the accounting for sales-type and direct financing leases. The guidance is effective in 2019 with early adoption permitted. The Company is currently evaluating the impact of this guidance on the consolidated financial statements.</w:t>
      </w:r>
    </w:p>
    <w:p>
      <w:pPr>
        <w:spacing w:after="0" w:line="149" w:lineRule="exact"/>
        <w:rPr>
          <w:sz w:val="20"/>
          <w:szCs w:val="20"/>
          <w:color w:val="auto"/>
        </w:rPr>
      </w:pPr>
    </w:p>
    <w:p>
      <w:pPr>
        <w:ind w:right="80" w:firstLine="520"/>
        <w:spacing w:after="0" w:line="248" w:lineRule="auto"/>
        <w:rPr>
          <w:sz w:val="20"/>
          <w:szCs w:val="20"/>
          <w:color w:val="auto"/>
        </w:rPr>
      </w:pPr>
      <w:r>
        <w:rPr>
          <w:rFonts w:ascii="Arial" w:cs="Arial" w:eastAsia="Arial" w:hAnsi="Arial"/>
          <w:sz w:val="15"/>
          <w:szCs w:val="15"/>
          <w:color w:val="auto"/>
        </w:rPr>
        <w:t>In January 2016, the FASB issued guidance that requires entities to measure equity instruments at fair value and recognize changes in fair value within the statement of operations. The Company adopted the updated guidance as of January 1, 2018. The guidance provides for electing a measurement alternative or defaulting to the fair value option for equity investments that do not have readily determinable fair values. The Company elected the measurement alternative for its equity investments in privately held companies, which are included in other assets in the accompanying consolidated balance sheets. These investments are measured at cost, less any impairment, plus or minus adjustments resulting from observable price changes in orderly transactions for the identical or a similar investment of the same issuer, which will be recorded within the statement of operations. The adoption of this guidance did not have a material impact on the consolidated financial statements.</w:t>
      </w:r>
    </w:p>
    <w:p>
      <w:pPr>
        <w:spacing w:after="0" w:line="159" w:lineRule="exact"/>
        <w:rPr>
          <w:sz w:val="20"/>
          <w:szCs w:val="20"/>
          <w:color w:val="auto"/>
        </w:rPr>
      </w:pPr>
    </w:p>
    <w:p>
      <w:pPr>
        <w:ind w:firstLine="520"/>
        <w:spacing w:after="0" w:line="249" w:lineRule="auto"/>
        <w:rPr>
          <w:sz w:val="20"/>
          <w:szCs w:val="20"/>
          <w:color w:val="auto"/>
        </w:rPr>
      </w:pPr>
      <w:r>
        <w:rPr>
          <w:rFonts w:ascii="Arial" w:cs="Arial" w:eastAsia="Arial" w:hAnsi="Arial"/>
          <w:sz w:val="15"/>
          <w:szCs w:val="15"/>
          <w:color w:val="auto"/>
        </w:rPr>
        <w:t>In May 2014, the FASB issued updated guidance and disclosure requirements for recognizing revenue. The new revenue recognition standard provides a five-step analysis of transactions to determine when and how revenue is recognized. The core principle is that a company should recognize revenue to depict the transfer of promised goods or services to customers in an amount that reflects the consideration to which the entity expects to be entitled in exchange for those goods or services. The standard also provides guidance on the recognition of costs related to obtaining customer contracts. The Company adopted the updated guidance as of January 1, 2018 using the modified retrospective transition method. See Note 2 of these consolidated financial statements for further details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Revenues</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Adoption of Updated Revenue Guidance</w:t>
      </w:r>
    </w:p>
    <w:p>
      <w:pPr>
        <w:spacing w:after="0" w:line="204" w:lineRule="exact"/>
        <w:rPr>
          <w:sz w:val="20"/>
          <w:szCs w:val="20"/>
          <w:color w:val="auto"/>
        </w:rPr>
      </w:pPr>
    </w:p>
    <w:p>
      <w:pPr>
        <w:ind w:right="20" w:firstLine="381"/>
        <w:spacing w:after="0" w:line="253" w:lineRule="auto"/>
        <w:rPr>
          <w:sz w:val="20"/>
          <w:szCs w:val="20"/>
          <w:color w:val="auto"/>
        </w:rPr>
      </w:pPr>
      <w:r>
        <w:rPr>
          <w:rFonts w:ascii="Arial" w:cs="Arial" w:eastAsia="Arial" w:hAnsi="Arial"/>
          <w:sz w:val="15"/>
          <w:szCs w:val="15"/>
          <w:color w:val="auto"/>
        </w:rPr>
        <w:t>On January 1, 2018, the Company adopted new revenue guidance using the modified retrospective method applied to those contracts which were not completed as of January 1, 2018. Results for reporting periods beginning after December 31, 2017 are presented under the new guidance, while prior period amounts are not adjusted and continue to be reported in accordance with historic revenue guidance. The Company applied the new standard using practical expedients where:</w:t>
      </w:r>
    </w:p>
    <w:p>
      <w:pPr>
        <w:spacing w:after="0" w:line="179" w:lineRule="exact"/>
        <w:rPr>
          <w:sz w:val="20"/>
          <w:szCs w:val="20"/>
          <w:color w:val="auto"/>
        </w:rPr>
      </w:pPr>
    </w:p>
    <w:p>
      <w:pPr>
        <w:ind w:left="760" w:right="620" w:hanging="379"/>
        <w:spacing w:after="0" w:line="228"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5"/>
          <w:szCs w:val="15"/>
          <w:color w:val="auto"/>
        </w:rPr>
        <w:t>the measurement of the transaction price excludes all taxes assessed by a governmental authority that are both imposed on and concurrent with a specific revenue-producing transaction and collected by the Company from a customer;</w:t>
      </w:r>
    </w:p>
    <w:p>
      <w:pPr>
        <w:spacing w:after="0" w:line="1" w:lineRule="exact"/>
        <w:rPr>
          <w:rFonts w:ascii="Arial" w:cs="Arial" w:eastAsia="Arial" w:hAnsi="Arial"/>
          <w:sz w:val="18"/>
          <w:szCs w:val="18"/>
          <w:color w:val="auto"/>
        </w:rPr>
      </w:pPr>
    </w:p>
    <w:p>
      <w:pPr>
        <w:ind w:left="760" w:hanging="379"/>
        <w:spacing w:after="0" w:line="203"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5"/>
          <w:szCs w:val="15"/>
          <w:color w:val="auto"/>
        </w:rPr>
        <w:t>the new revenue guidance has been applied to portfolios of contracts with similar characteristics;</w:t>
      </w:r>
    </w:p>
    <w:p>
      <w:pPr>
        <w:spacing w:after="0" w:line="23" w:lineRule="exact"/>
        <w:rPr>
          <w:rFonts w:ascii="Arial" w:cs="Arial" w:eastAsia="Arial" w:hAnsi="Arial"/>
          <w:sz w:val="18"/>
          <w:szCs w:val="18"/>
          <w:color w:val="auto"/>
        </w:rPr>
      </w:pPr>
    </w:p>
    <w:p>
      <w:pPr>
        <w:ind w:left="760" w:hanging="379"/>
        <w:spacing w:after="0" w:line="202"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5"/>
          <w:szCs w:val="15"/>
          <w:color w:val="auto"/>
        </w:rPr>
        <w:t>the modified retrospective approach has been applied only to contracts that are not completed contracts at the date of initial adoption; and</w:t>
      </w:r>
    </w:p>
    <w:p>
      <w:pPr>
        <w:spacing w:after="0" w:line="23" w:lineRule="exact"/>
        <w:rPr>
          <w:rFonts w:ascii="Arial" w:cs="Arial" w:eastAsia="Arial" w:hAnsi="Arial"/>
          <w:sz w:val="18"/>
          <w:szCs w:val="18"/>
          <w:color w:val="auto"/>
        </w:rPr>
      </w:pPr>
    </w:p>
    <w:p>
      <w:pPr>
        <w:ind w:left="760" w:hanging="379"/>
        <w:spacing w:after="0" w:line="202"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5"/>
          <w:szCs w:val="15"/>
          <w:color w:val="auto"/>
        </w:rPr>
        <w:t>the value of unsatisfied performance obligations for contracts with an original expected length of one year or less has not been disclosed.</w:t>
      </w:r>
    </w:p>
    <w:p>
      <w:pPr>
        <w:spacing w:after="0" w:line="187" w:lineRule="exact"/>
        <w:rPr>
          <w:sz w:val="20"/>
          <w:szCs w:val="20"/>
          <w:color w:val="auto"/>
        </w:rPr>
      </w:pPr>
    </w:p>
    <w:p>
      <w:pPr>
        <w:ind w:firstLine="381"/>
        <w:spacing w:after="0" w:line="267" w:lineRule="auto"/>
        <w:rPr>
          <w:sz w:val="20"/>
          <w:szCs w:val="20"/>
          <w:color w:val="auto"/>
        </w:rPr>
      </w:pPr>
      <w:r>
        <w:rPr>
          <w:rFonts w:ascii="Arial" w:cs="Arial" w:eastAsia="Arial" w:hAnsi="Arial"/>
          <w:sz w:val="14"/>
          <w:szCs w:val="14"/>
          <w:color w:val="auto"/>
        </w:rPr>
        <w:t>The impact of applying the new guidance in 2018 vs the prior guidance resulted in a change to the period over which sales commissions are amortized to incorporate an estimated customer life and the amortization period over which internally developed new features and increased functionality for our software platform is recorded, in addition to the initial contract period. This resulted in a longer amortization period for deferred commission expense, which reduces expense compared to the application of the prior guidance. There was also a change to the scope of sales commissions that are capitalized based on the definition of incremental costs of obtaining a contract. This increased the amount of commissions cost that was capitalized compared to the application of the prior guidance. In addition, there was a change in the timing of revenue recognition for certain sales contracts where free or discounted services are bundled with subscription services due to the removal of the limitation on recording contingent revenue that existed in the prior guidance. Removing the limitation of recording contingent revenue resulted in an acceleration of revenue recognition on these contracts compared to the application of the prior guidance.</w:t>
      </w:r>
    </w:p>
    <w:p>
      <w:pPr>
        <w:spacing w:after="0" w:line="150" w:lineRule="exact"/>
        <w:rPr>
          <w:sz w:val="20"/>
          <w:szCs w:val="20"/>
          <w:color w:val="auto"/>
        </w:rPr>
      </w:pPr>
    </w:p>
    <w:p>
      <w:pPr>
        <w:ind w:right="20" w:firstLine="381"/>
        <w:spacing w:after="0" w:line="267" w:lineRule="auto"/>
        <w:rPr>
          <w:sz w:val="20"/>
          <w:szCs w:val="20"/>
          <w:color w:val="auto"/>
        </w:rPr>
      </w:pPr>
      <w:r>
        <w:rPr>
          <w:rFonts w:ascii="Arial" w:cs="Arial" w:eastAsia="Arial" w:hAnsi="Arial"/>
          <w:sz w:val="14"/>
          <w:szCs w:val="14"/>
          <w:color w:val="auto"/>
        </w:rPr>
        <w:t>The Company recorded a net increase to opening retained earnings of $5.8 million as of January 1, 2018 due to the cumulative impact of adopting the new revenue guidance, with the impact primarily related to the recognition of costs associated with obtaining customer contracts. The resulting impact to the consolidated statements of operations and comprehensive loss of applying the new guidance in 2018 vs the prior guidance was a decrease to subscription revenue of $170 thousand, an increase to professional services and other revenue of $140 thousand, a decrease to total revenues of $30 thousand, and a decrease to selling and marketing expense and total operating expenses of $3.6 million for the three months ended March 31, 2018. The resulting impact to loss from operations, loss before income tax (expense) benefit, net loss and comprehensive loss was $3.5 million. The resulting impact on basic earnings per share was $0.09. The resulting impact to the consolidated balance sheet of applying the new guidance in 2018 vs the prior guidance was a decrease to short-term deferred commissions and total current assets of $2.2 million, an increase to long-term deferred</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1390" cy="39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60"/>
          </w:cols>
          <w:pgMar w:left="220" w:top="480" w:right="219" w:bottom="1440" w:gutter="0" w:footer="0" w:header="0"/>
        </w:sectPr>
      </w:pPr>
    </w:p>
    <w:bookmarkStart w:id="10" w:name="page11"/>
    <w:bookmarkEnd w:id="10"/>
    <w:p>
      <w:pPr>
        <w:ind w:right="20"/>
        <w:spacing w:after="0" w:line="274" w:lineRule="auto"/>
        <w:rPr>
          <w:sz w:val="20"/>
          <w:szCs w:val="20"/>
          <w:color w:val="auto"/>
        </w:rPr>
      </w:pPr>
      <w:r>
        <w:rPr>
          <w:rFonts w:ascii="Arial" w:cs="Arial" w:eastAsia="Arial" w:hAnsi="Arial"/>
          <w:sz w:val="14"/>
          <w:szCs w:val="14"/>
          <w:color w:val="auto"/>
        </w:rPr>
        <w:t>commissions of $11.2 million, an increase in total assets of $9.0 million, a decrease to short-term deferred revenue, total current liabilities, and total liabilities of $300 thousand, a decrease to accumulated deficit and increase to total stockholders’ equity of $9.3 million, and an increase to total liabilities and stockholders’ equity of $9.0 million. There was no impact to total cash flow from operations of applying the new guidance in 2018 vs the prior guidance because the decrease in net loss of $3.5 million, increase in the change in deferred commission expense of $3.6 million and decrease in the change in deferred revenue of $30 thousand net to $0 within cash flows from operations.</w:t>
      </w: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 Recognition</w:t>
      </w:r>
    </w:p>
    <w:p>
      <w:pPr>
        <w:spacing w:after="0" w:line="204" w:lineRule="exact"/>
        <w:rPr>
          <w:sz w:val="20"/>
          <w:szCs w:val="20"/>
          <w:color w:val="auto"/>
        </w:rPr>
      </w:pPr>
    </w:p>
    <w:p>
      <w:pPr>
        <w:ind w:firstLine="530"/>
        <w:spacing w:after="0" w:line="253" w:lineRule="auto"/>
        <w:rPr>
          <w:sz w:val="20"/>
          <w:szCs w:val="20"/>
          <w:color w:val="auto"/>
        </w:rPr>
      </w:pPr>
      <w:r>
        <w:rPr>
          <w:rFonts w:ascii="Arial" w:cs="Arial" w:eastAsia="Arial" w:hAnsi="Arial"/>
          <w:sz w:val="15"/>
          <w:szCs w:val="15"/>
          <w:color w:val="auto"/>
        </w:rPr>
        <w:t>The Company generates revenue from arrangements with multiple performance obligations, which typically include subscriptions to its online software products and professional services which include on-boarding and training services. The Company’s customers do not have the right to take possession of the online software products. The Company recognizes revenue from contracts with customers using a five-step model, which is described below:</w:t>
      </w:r>
    </w:p>
    <w:p>
      <w:pPr>
        <w:spacing w:after="0" w:line="157" w:lineRule="exact"/>
        <w:rPr>
          <w:sz w:val="20"/>
          <w:szCs w:val="20"/>
          <w:color w:val="auto"/>
        </w:rPr>
      </w:pPr>
    </w:p>
    <w:p>
      <w:pPr>
        <w:ind w:left="760" w:hanging="379"/>
        <w:spacing w:after="0"/>
        <w:tabs>
          <w:tab w:leader="none" w:pos="760" w:val="left"/>
        </w:tabs>
        <w:numPr>
          <w:ilvl w:val="0"/>
          <w:numId w:val="5"/>
        </w:numPr>
        <w:rPr>
          <w:rFonts w:ascii="Arial" w:cs="Arial" w:eastAsia="Arial" w:hAnsi="Arial"/>
          <w:sz w:val="15"/>
          <w:szCs w:val="15"/>
          <w:color w:val="auto"/>
        </w:rPr>
      </w:pPr>
      <w:r>
        <w:rPr>
          <w:rFonts w:ascii="Arial" w:cs="Arial" w:eastAsia="Arial" w:hAnsi="Arial"/>
          <w:sz w:val="15"/>
          <w:szCs w:val="15"/>
          <w:color w:val="auto"/>
        </w:rPr>
        <w:t>Identify the customer contract;</w:t>
      </w:r>
    </w:p>
    <w:p>
      <w:pPr>
        <w:spacing w:after="0" w:line="13" w:lineRule="exact"/>
        <w:rPr>
          <w:rFonts w:ascii="Arial" w:cs="Arial" w:eastAsia="Arial" w:hAnsi="Arial"/>
          <w:sz w:val="15"/>
          <w:szCs w:val="15"/>
          <w:color w:val="auto"/>
        </w:rPr>
      </w:pPr>
    </w:p>
    <w:p>
      <w:pPr>
        <w:ind w:left="760" w:hanging="379"/>
        <w:spacing w:after="0"/>
        <w:tabs>
          <w:tab w:leader="none" w:pos="760" w:val="left"/>
        </w:tabs>
        <w:numPr>
          <w:ilvl w:val="0"/>
          <w:numId w:val="5"/>
        </w:numPr>
        <w:rPr>
          <w:rFonts w:ascii="Arial" w:cs="Arial" w:eastAsia="Arial" w:hAnsi="Arial"/>
          <w:sz w:val="15"/>
          <w:szCs w:val="15"/>
          <w:color w:val="auto"/>
        </w:rPr>
      </w:pPr>
      <w:r>
        <w:rPr>
          <w:rFonts w:ascii="Arial" w:cs="Arial" w:eastAsia="Arial" w:hAnsi="Arial"/>
          <w:sz w:val="15"/>
          <w:szCs w:val="15"/>
          <w:color w:val="auto"/>
        </w:rPr>
        <w:t>Identify performance obligations that are distinct;</w:t>
      </w:r>
    </w:p>
    <w:p>
      <w:pPr>
        <w:spacing w:after="0" w:line="3" w:lineRule="exact"/>
        <w:rPr>
          <w:rFonts w:ascii="Arial" w:cs="Arial" w:eastAsia="Arial" w:hAnsi="Arial"/>
          <w:sz w:val="15"/>
          <w:szCs w:val="15"/>
          <w:color w:val="auto"/>
        </w:rPr>
      </w:pPr>
    </w:p>
    <w:p>
      <w:pPr>
        <w:ind w:left="760" w:hanging="379"/>
        <w:spacing w:after="0"/>
        <w:tabs>
          <w:tab w:leader="none" w:pos="760" w:val="left"/>
        </w:tabs>
        <w:numPr>
          <w:ilvl w:val="0"/>
          <w:numId w:val="5"/>
        </w:numPr>
        <w:rPr>
          <w:rFonts w:ascii="Arial" w:cs="Arial" w:eastAsia="Arial" w:hAnsi="Arial"/>
          <w:sz w:val="15"/>
          <w:szCs w:val="15"/>
          <w:color w:val="auto"/>
        </w:rPr>
      </w:pPr>
      <w:r>
        <w:rPr>
          <w:rFonts w:ascii="Arial" w:cs="Arial" w:eastAsia="Arial" w:hAnsi="Arial"/>
          <w:sz w:val="15"/>
          <w:szCs w:val="15"/>
          <w:color w:val="auto"/>
        </w:rPr>
        <w:t>Determine the transaction price;</w:t>
      </w:r>
    </w:p>
    <w:p>
      <w:pPr>
        <w:spacing w:after="0" w:line="3" w:lineRule="exact"/>
        <w:rPr>
          <w:rFonts w:ascii="Arial" w:cs="Arial" w:eastAsia="Arial" w:hAnsi="Arial"/>
          <w:sz w:val="15"/>
          <w:szCs w:val="15"/>
          <w:color w:val="auto"/>
        </w:rPr>
      </w:pPr>
    </w:p>
    <w:p>
      <w:pPr>
        <w:ind w:left="760" w:hanging="379"/>
        <w:spacing w:after="0"/>
        <w:tabs>
          <w:tab w:leader="none" w:pos="760" w:val="left"/>
        </w:tabs>
        <w:numPr>
          <w:ilvl w:val="0"/>
          <w:numId w:val="5"/>
        </w:numPr>
        <w:rPr>
          <w:rFonts w:ascii="Arial" w:cs="Arial" w:eastAsia="Arial" w:hAnsi="Arial"/>
          <w:sz w:val="15"/>
          <w:szCs w:val="15"/>
          <w:color w:val="auto"/>
        </w:rPr>
      </w:pPr>
      <w:r>
        <w:rPr>
          <w:rFonts w:ascii="Arial" w:cs="Arial" w:eastAsia="Arial" w:hAnsi="Arial"/>
          <w:sz w:val="15"/>
          <w:szCs w:val="15"/>
          <w:color w:val="auto"/>
        </w:rPr>
        <w:t>Allocate the transaction price to the distinct performance obligations; and</w:t>
      </w:r>
    </w:p>
    <w:p>
      <w:pPr>
        <w:spacing w:after="0" w:line="3" w:lineRule="exact"/>
        <w:rPr>
          <w:rFonts w:ascii="Arial" w:cs="Arial" w:eastAsia="Arial" w:hAnsi="Arial"/>
          <w:sz w:val="15"/>
          <w:szCs w:val="15"/>
          <w:color w:val="auto"/>
        </w:rPr>
      </w:pPr>
    </w:p>
    <w:p>
      <w:pPr>
        <w:ind w:left="760" w:hanging="379"/>
        <w:spacing w:after="0"/>
        <w:tabs>
          <w:tab w:leader="none" w:pos="760" w:val="left"/>
        </w:tabs>
        <w:numPr>
          <w:ilvl w:val="0"/>
          <w:numId w:val="5"/>
        </w:numPr>
        <w:rPr>
          <w:rFonts w:ascii="Arial" w:cs="Arial" w:eastAsia="Arial" w:hAnsi="Arial"/>
          <w:sz w:val="15"/>
          <w:szCs w:val="15"/>
          <w:color w:val="auto"/>
        </w:rPr>
      </w:pPr>
      <w:r>
        <w:rPr>
          <w:rFonts w:ascii="Arial" w:cs="Arial" w:eastAsia="Arial" w:hAnsi="Arial"/>
          <w:sz w:val="15"/>
          <w:szCs w:val="15"/>
          <w:color w:val="auto"/>
        </w:rPr>
        <w:t>Recognize revenue as the performance obligations are satisfied.</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Identify the customer contract</w:t>
      </w:r>
    </w:p>
    <w:p>
      <w:pPr>
        <w:spacing w:after="0" w:line="179" w:lineRule="exact"/>
        <w:rPr>
          <w:sz w:val="20"/>
          <w:szCs w:val="20"/>
          <w:color w:val="auto"/>
        </w:rPr>
      </w:pPr>
    </w:p>
    <w:p>
      <w:pPr>
        <w:ind w:right="540" w:firstLine="764"/>
        <w:spacing w:after="0" w:line="263" w:lineRule="auto"/>
        <w:rPr>
          <w:sz w:val="20"/>
          <w:szCs w:val="20"/>
          <w:color w:val="auto"/>
        </w:rPr>
      </w:pPr>
      <w:r>
        <w:rPr>
          <w:rFonts w:ascii="Arial" w:cs="Arial" w:eastAsia="Arial" w:hAnsi="Arial"/>
          <w:sz w:val="15"/>
          <w:szCs w:val="15"/>
          <w:color w:val="auto"/>
        </w:rPr>
        <w:t>A customer contract is generally identified when the Company and a customer have executed an arrangement that calls for the Company to grant access to its online software products and provide professional services in exchange for consideration from the customer.</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Identify performance obligations that are distinct</w:t>
      </w:r>
    </w:p>
    <w:p>
      <w:pPr>
        <w:spacing w:after="0" w:line="179" w:lineRule="exact"/>
        <w:rPr>
          <w:sz w:val="20"/>
          <w:szCs w:val="20"/>
          <w:color w:val="auto"/>
        </w:rPr>
      </w:pPr>
    </w:p>
    <w:p>
      <w:pPr>
        <w:ind w:right="100" w:firstLine="764"/>
        <w:spacing w:after="0" w:line="296" w:lineRule="auto"/>
        <w:rPr>
          <w:sz w:val="20"/>
          <w:szCs w:val="20"/>
          <w:color w:val="auto"/>
        </w:rPr>
      </w:pPr>
      <w:r>
        <w:rPr>
          <w:rFonts w:ascii="Arial" w:cs="Arial" w:eastAsia="Arial" w:hAnsi="Arial"/>
          <w:sz w:val="13"/>
          <w:szCs w:val="13"/>
          <w:color w:val="auto"/>
        </w:rPr>
        <w:t>A performance obligation is a promise to provide a distinct good or service or a series of distinct goods or services. A good or service that is promised to a customer is distinct if the customer can benefit from the good or service either on its own or together with other resources that are readily available to the customer, and a company’s promise to transfer the good or service to the customer is separately identifiable from other promises in the contract. The Company has determined that subscriptions for its online software products are distinct because, once a customer has access to the online software product that it purchased, the online software product is fully functional and does not require any additional development, modification, or customization. Professional services sold are distinct because the customer benefits from the on-boarding and training to make better use of the online software products it purchased.</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Determine the transaction price</w:t>
      </w:r>
    </w:p>
    <w:p>
      <w:pPr>
        <w:spacing w:after="0" w:line="179" w:lineRule="exact"/>
        <w:rPr>
          <w:sz w:val="20"/>
          <w:szCs w:val="20"/>
          <w:color w:val="auto"/>
        </w:rPr>
      </w:pPr>
    </w:p>
    <w:p>
      <w:pPr>
        <w:ind w:right="160" w:firstLine="764"/>
        <w:spacing w:after="0" w:line="250" w:lineRule="auto"/>
        <w:rPr>
          <w:sz w:val="20"/>
          <w:szCs w:val="20"/>
          <w:color w:val="auto"/>
        </w:rPr>
      </w:pPr>
      <w:r>
        <w:rPr>
          <w:rFonts w:ascii="Arial" w:cs="Arial" w:eastAsia="Arial" w:hAnsi="Arial"/>
          <w:sz w:val="15"/>
          <w:szCs w:val="15"/>
          <w:color w:val="auto"/>
        </w:rPr>
        <w:t>The transaction price is the amount of consideration to which the Company expects to be entitled in exchange for transferring goods or services to a customer, excluding sales taxes that are collected on behalf of government agencies. The Company estimates any variable consideration to which it will be entitled at contract inception, and reassesses at each reporting date, when determining the transaction price. The Company does not include variable consideration to the extent that it is probable that a significant reversal in the amount of cumulative revenue recognized will occur when any uncertainty associated with the variable consideration is resolved.</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Allocate the transaction price to the distinct performance obligations</w:t>
      </w:r>
    </w:p>
    <w:p>
      <w:pPr>
        <w:spacing w:after="0" w:line="179" w:lineRule="exact"/>
        <w:rPr>
          <w:sz w:val="20"/>
          <w:szCs w:val="20"/>
          <w:color w:val="auto"/>
        </w:rPr>
      </w:pPr>
    </w:p>
    <w:p>
      <w:pPr>
        <w:ind w:right="60" w:firstLine="764"/>
        <w:spacing w:after="0" w:line="250" w:lineRule="auto"/>
        <w:rPr>
          <w:sz w:val="20"/>
          <w:szCs w:val="20"/>
          <w:color w:val="auto"/>
        </w:rPr>
      </w:pPr>
      <w:r>
        <w:rPr>
          <w:rFonts w:ascii="Arial" w:cs="Arial" w:eastAsia="Arial" w:hAnsi="Arial"/>
          <w:sz w:val="15"/>
          <w:szCs w:val="15"/>
          <w:color w:val="auto"/>
        </w:rPr>
        <w:t>The transaction price is allocated to each performance obligation based on the relative standalone selling prices (“SSP”) of the goods or services being provided to the customer. The Company determines the SSP of its goods and services based upon the average sales prices for each type of online software product and professional services sold. In instances where there are not sufficient data points, or the selling prices for a particular online software product or professional service are disparate, the Company estimates the SSP using other observable inputs, such as similar products 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1390"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60"/>
          </w:cols>
          <w:pgMar w:left="220" w:top="304" w:right="219" w:bottom="1440" w:gutter="0" w:footer="0" w:header="0"/>
        </w:sectPr>
      </w:pPr>
    </w:p>
    <w:bookmarkStart w:id="11" w:name="page12"/>
    <w:bookmarkEnd w:id="11"/>
    <w:p>
      <w:pPr>
        <w:spacing w:after="0"/>
        <w:rPr>
          <w:sz w:val="20"/>
          <w:szCs w:val="20"/>
          <w:color w:val="auto"/>
        </w:rPr>
      </w:pPr>
      <w:r>
        <w:rPr>
          <w:rFonts w:ascii="Arial" w:cs="Arial" w:eastAsia="Arial" w:hAnsi="Arial"/>
          <w:sz w:val="15"/>
          <w:szCs w:val="15"/>
          <w:i w:val="1"/>
          <w:iCs w:val="1"/>
          <w:color w:val="auto"/>
        </w:rPr>
        <w:t>Recognize revenue as the performance obligations are satisfied</w:t>
      </w:r>
    </w:p>
    <w:p>
      <w:pPr>
        <w:spacing w:after="0" w:line="179" w:lineRule="exact"/>
        <w:rPr>
          <w:sz w:val="20"/>
          <w:szCs w:val="20"/>
          <w:color w:val="auto"/>
        </w:rPr>
      </w:pPr>
    </w:p>
    <w:p>
      <w:pPr>
        <w:jc w:val="both"/>
        <w:ind w:right="300" w:firstLine="764"/>
        <w:spacing w:after="0" w:line="253" w:lineRule="auto"/>
        <w:rPr>
          <w:sz w:val="20"/>
          <w:szCs w:val="20"/>
          <w:color w:val="auto"/>
        </w:rPr>
      </w:pPr>
      <w:r>
        <w:rPr>
          <w:rFonts w:ascii="Arial" w:cs="Arial" w:eastAsia="Arial" w:hAnsi="Arial"/>
          <w:sz w:val="15"/>
          <w:szCs w:val="15"/>
          <w:color w:val="auto"/>
        </w:rPr>
        <w:t>Revenues are recognized when or as control of the promised goods or services is transferred to customers. Revenue from online software products is recognized ratably over the subscription period beginning on the date the Company’s online software products are made available to customers. Most subscription contracts are one year or less. The Company recognizes revenue from on-boarding and training services as the services are provided.</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Disaggregation of Revenue</w:t>
      </w:r>
    </w:p>
    <w:p>
      <w:pPr>
        <w:spacing w:after="0" w:line="179" w:lineRule="exact"/>
        <w:rPr>
          <w:sz w:val="20"/>
          <w:szCs w:val="20"/>
          <w:color w:val="auto"/>
        </w:rPr>
      </w:pPr>
    </w:p>
    <w:p>
      <w:pPr>
        <w:ind w:right="380" w:firstLine="764"/>
        <w:spacing w:after="0" w:line="253" w:lineRule="auto"/>
        <w:rPr>
          <w:sz w:val="20"/>
          <w:szCs w:val="20"/>
          <w:color w:val="auto"/>
        </w:rPr>
      </w:pPr>
      <w:r>
        <w:rPr>
          <w:rFonts w:ascii="Arial" w:cs="Arial" w:eastAsia="Arial" w:hAnsi="Arial"/>
          <w:sz w:val="15"/>
          <w:szCs w:val="15"/>
          <w:color w:val="auto"/>
        </w:rPr>
        <w:t>The Company provides disaggregation of revenue based on geographic region within the notes (Note 13) and based on the subscription vs professional services and other classification on the consolidated statements of operations as it believes these best depict how the nature, amount, timing and uncertainty of revenue and cash flows are affected by economic factors.</w:t>
      </w:r>
    </w:p>
    <w:p>
      <w:pPr>
        <w:spacing w:after="0" w:line="3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Deferred Revenue and Deferred Commission Expense</w:t>
      </w:r>
    </w:p>
    <w:p>
      <w:pPr>
        <w:spacing w:after="0" w:line="179" w:lineRule="exact"/>
        <w:rPr>
          <w:sz w:val="20"/>
          <w:szCs w:val="20"/>
          <w:color w:val="auto"/>
        </w:rPr>
      </w:pPr>
    </w:p>
    <w:p>
      <w:pPr>
        <w:jc w:val="both"/>
        <w:ind w:firstLine="764"/>
        <w:spacing w:after="0" w:line="247" w:lineRule="auto"/>
        <w:rPr>
          <w:sz w:val="20"/>
          <w:szCs w:val="20"/>
          <w:color w:val="auto"/>
        </w:rPr>
      </w:pPr>
      <w:r>
        <w:rPr>
          <w:rFonts w:ascii="Arial" w:cs="Arial" w:eastAsia="Arial" w:hAnsi="Arial"/>
          <w:sz w:val="15"/>
          <w:szCs w:val="15"/>
          <w:color w:val="auto"/>
        </w:rPr>
        <w:t>Amounts that have been invoiced are recorded in accounts receivable and deferred revenue or revenue, depending on whether the revenue recognition criteria have been met. Deferred revenue represents amounts billed for which revenue has not yet been recognized. Deferred revenue that will be recognized during the succeeding 12-month period is recorded as current deferred revenue, and the remaining portion is recorded as long-term deferred revenue. Deferred revenue during the three months ended March 31, 2018 increased by $11.6 million resulting from $126.2 million of additional invoicing and was offset by revenue recognized of $114.6 million during the same period, of which $71.6 million was included in deferred revenue at the beginning of the period. As of March 31, 2018, approximately $74.3 million of revenue is expected to be recognized from remaining performance obligations for contracts with original performance obligations that exceed one year. The Company expects to recognize revenue on approximately 90% of these remaining performance obligations over the next 24 months, with the balance recognized thereafter.</w:t>
      </w:r>
    </w:p>
    <w:p>
      <w:pPr>
        <w:spacing w:after="0" w:line="162" w:lineRule="exact"/>
        <w:rPr>
          <w:sz w:val="20"/>
          <w:szCs w:val="20"/>
          <w:color w:val="auto"/>
        </w:rPr>
      </w:pPr>
    </w:p>
    <w:p>
      <w:pPr>
        <w:ind w:right="40" w:firstLine="520"/>
        <w:spacing w:after="0" w:line="247" w:lineRule="auto"/>
        <w:rPr>
          <w:sz w:val="20"/>
          <w:szCs w:val="20"/>
          <w:color w:val="auto"/>
        </w:rPr>
      </w:pPr>
      <w:r>
        <w:rPr>
          <w:rFonts w:ascii="Arial" w:cs="Arial" w:eastAsia="Arial" w:hAnsi="Arial"/>
          <w:sz w:val="15"/>
          <w:szCs w:val="15"/>
          <w:color w:val="auto"/>
        </w:rPr>
        <w:t>The incremental direct costs of obtaining a contract, which primarily consist of sales commissions paid for new subscription contracts, are deferred and amortized on a straight-line basis over a period of approximately two to three years. The two to three-year period has been determined by taking into consideration the type of product sold, the commitment term of the customer contract, the nature of the Company’s technology development life-cycle, and an estimated customer relationship period. Sales commissions for upgrade contracts are deferred and amortized on a straight-line basis over the remaining estimated customer relationship period of the related customer. Deferred commission expense that will be recorded as expense during the succeeding 12-month period is recorded as current deferred commission expense, and the remaining portion is recorded as long-term deferred commission expense. Deferred commission expense during the three months ended March 31, 2018 increased by $4.8 million as a result of deferring incremental costs of obtaining a contract of $9.4 million and was offset by amortization of $4.6 million during the same period.</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Partner Commissions</w:t>
      </w:r>
    </w:p>
    <w:p>
      <w:pPr>
        <w:spacing w:after="0" w:line="179" w:lineRule="exact"/>
        <w:rPr>
          <w:sz w:val="20"/>
          <w:szCs w:val="20"/>
          <w:color w:val="auto"/>
        </w:rPr>
      </w:pPr>
    </w:p>
    <w:p>
      <w:pPr>
        <w:ind w:right="20" w:firstLine="520"/>
        <w:spacing w:after="0" w:line="296" w:lineRule="auto"/>
        <w:rPr>
          <w:sz w:val="20"/>
          <w:szCs w:val="20"/>
          <w:color w:val="auto"/>
        </w:rPr>
      </w:pPr>
      <w:r>
        <w:rPr>
          <w:rFonts w:ascii="Arial" w:cs="Arial" w:eastAsia="Arial" w:hAnsi="Arial"/>
          <w:sz w:val="13"/>
          <w:szCs w:val="13"/>
          <w:color w:val="auto"/>
        </w:rPr>
        <w:t>The Company pays its partners a commission based on the online software product sales price for sales to end-customers. The classification of the commission paid on the Company’s consolidated statements of operations depends on who purchases the online software product. In instances where the end-customer purchases the online software product from the Company, the Company is the principal and it records the commission paid to the partner as sales and marketing expense. When the partner purchases the online software product directly from the Company, the Company is the agent and it nets the consideration paid to the partner against the associated revenue it recognizes, as in these instances the Company’s customer is the partner and the Company’s remaining obligation is to the partner. The Company does not believe that it receives a tangible benefit from the commission payment to the partner.</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1390"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60"/>
          </w:cols>
          <w:pgMar w:left="220" w:top="480" w:right="219" w:bottom="1440" w:gutter="0" w:footer="0" w:header="0"/>
        </w:sectPr>
      </w:pPr>
    </w:p>
    <w:bookmarkStart w:id="12" w:name="page13"/>
    <w:bookmarkEnd w:id="12"/>
    <w:p>
      <w:pPr>
        <w:spacing w:after="0"/>
        <w:rPr>
          <w:sz w:val="20"/>
          <w:szCs w:val="20"/>
          <w:color w:val="auto"/>
        </w:rPr>
      </w:pPr>
      <w:r>
        <w:rPr>
          <w:rFonts w:ascii="Arial" w:cs="Arial" w:eastAsia="Arial" w:hAnsi="Arial"/>
          <w:sz w:val="15"/>
          <w:szCs w:val="15"/>
          <w:b w:val="1"/>
          <w:bCs w:val="1"/>
          <w:color w:val="auto"/>
        </w:rPr>
        <w:t>3. Net Loss per Share</w:t>
      </w:r>
    </w:p>
    <w:p>
      <w:pPr>
        <w:spacing w:after="0" w:line="95" w:lineRule="exact"/>
        <w:rPr>
          <w:sz w:val="20"/>
          <w:szCs w:val="20"/>
          <w:color w:val="auto"/>
        </w:rPr>
      </w:pPr>
    </w:p>
    <w:p>
      <w:pPr>
        <w:ind w:firstLine="520"/>
        <w:spacing w:after="0" w:line="280" w:lineRule="auto"/>
        <w:rPr>
          <w:sz w:val="20"/>
          <w:szCs w:val="20"/>
          <w:color w:val="auto"/>
        </w:rPr>
      </w:pPr>
      <w:r>
        <w:rPr>
          <w:rFonts w:ascii="Arial" w:cs="Arial" w:eastAsia="Arial" w:hAnsi="Arial"/>
          <w:sz w:val="14"/>
          <w:szCs w:val="14"/>
          <w:color w:val="auto"/>
        </w:rPr>
        <w:t>Basic net loss per share is computed by dividing net loss by the weighted average number of common shares outstanding for the period. Diluted net loss per share is computed by giving effect to all potential dilutive common stock equivalents outstanding for the period. For purposes of this calculation, options to purchase common stock, restricted stock units (“RSUs”), Employee Stock Purchase Plan (“ESPP”), and the Conversion Option of the 2022 Notes are considered to be potential common stock equivalents.</w:t>
      </w:r>
    </w:p>
    <w:p>
      <w:pPr>
        <w:spacing w:after="0" w:line="139" w:lineRule="exact"/>
        <w:rPr>
          <w:sz w:val="20"/>
          <w:szCs w:val="20"/>
          <w:color w:val="auto"/>
        </w:rPr>
      </w:pPr>
    </w:p>
    <w:p>
      <w:pPr>
        <w:ind w:left="520"/>
        <w:spacing w:after="0"/>
        <w:rPr>
          <w:sz w:val="20"/>
          <w:szCs w:val="20"/>
          <w:color w:val="auto"/>
        </w:rPr>
      </w:pPr>
      <w:r>
        <w:rPr>
          <w:rFonts w:ascii="Arial" w:cs="Arial" w:eastAsia="Arial" w:hAnsi="Arial"/>
          <w:sz w:val="15"/>
          <w:szCs w:val="15"/>
          <w:color w:val="auto"/>
        </w:rPr>
        <w:t>A reconciliation of the denominator used in the calculation of basic and diluted net loss per share is as follows:</w:t>
      </w:r>
    </w:p>
    <w:p>
      <w:pPr>
        <w:spacing w:after="0" w:line="183" w:lineRule="exact"/>
        <w:rPr>
          <w:sz w:val="20"/>
          <w:szCs w:val="20"/>
          <w:color w:val="auto"/>
        </w:rPr>
      </w:pPr>
    </w:p>
    <w:tbl>
      <w:tblPr>
        <w:tblLayout w:type="fixed"/>
        <w:tblInd w:w="1740" w:type="dxa"/>
        <w:tblCellMar>
          <w:top w:w="0" w:type="dxa"/>
          <w:left w:w="0" w:type="dxa"/>
          <w:bottom w:w="0" w:type="dxa"/>
          <w:right w:w="0" w:type="dxa"/>
        </w:tblCellMar>
      </w:tblPr>
      <w:tr>
        <w:trPr>
          <w:trHeight w:val="138"/>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40" w:type="dxa"/>
            <w:vAlign w:val="bottom"/>
            <w:gridSpan w:val="6"/>
          </w:tcPr>
          <w:p>
            <w:pPr>
              <w:jc w:val="right"/>
              <w:ind w:right="660"/>
              <w:spacing w:after="0"/>
              <w:rPr>
                <w:sz w:val="20"/>
                <w:szCs w:val="20"/>
                <w:color w:val="auto"/>
              </w:rPr>
            </w:pPr>
            <w:r>
              <w:rPr>
                <w:rFonts w:ascii="Arial" w:cs="Arial" w:eastAsia="Arial" w:hAnsi="Arial"/>
                <w:sz w:val="12"/>
                <w:szCs w:val="12"/>
                <w:b w:val="1"/>
                <w:bCs w:val="1"/>
                <w:color w:val="auto"/>
              </w:rPr>
              <w:t>Three Months Ended March 31,</w:t>
            </w:r>
          </w:p>
        </w:tc>
      </w:tr>
      <w:tr>
        <w:trPr>
          <w:trHeight w:val="123"/>
        </w:trPr>
        <w:tc>
          <w:tcPr>
            <w:tcW w:w="5160" w:type="dxa"/>
            <w:vAlign w:val="bottom"/>
            <w:tcBorders>
              <w:bottom w:val="single" w:sz="8" w:color="CFF0FC"/>
            </w:tcBorders>
          </w:tcPr>
          <w:p>
            <w:pPr>
              <w:spacing w:after="0"/>
              <w:rPr>
                <w:sz w:val="10"/>
                <w:szCs w:val="10"/>
                <w:color w:val="auto"/>
              </w:rPr>
            </w:pPr>
          </w:p>
        </w:tc>
        <w:tc>
          <w:tcPr>
            <w:tcW w:w="30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ind w:right="331"/>
              <w:spacing w:after="0" w:line="123" w:lineRule="exact"/>
              <w:rPr>
                <w:sz w:val="20"/>
                <w:szCs w:val="20"/>
                <w:color w:val="auto"/>
              </w:rPr>
            </w:pPr>
            <w:r>
              <w:rPr>
                <w:rFonts w:ascii="Arial" w:cs="Arial" w:eastAsia="Arial" w:hAnsi="Arial"/>
                <w:sz w:val="12"/>
                <w:szCs w:val="12"/>
                <w:b w:val="1"/>
                <w:bCs w:val="1"/>
                <w:color w:val="auto"/>
              </w:rPr>
              <w:t>2018</w:t>
            </w:r>
          </w:p>
        </w:tc>
        <w:tc>
          <w:tcPr>
            <w:tcW w:w="120" w:type="dxa"/>
            <w:vAlign w:val="bottom"/>
            <w:tcBorders>
              <w:top w:val="single" w:sz="8" w:color="auto"/>
              <w:bottom w:val="single" w:sz="8" w:color="CFF0FC"/>
            </w:tcBorders>
          </w:tcPr>
          <w:p>
            <w:pPr>
              <w:spacing w:after="0"/>
              <w:rPr>
                <w:sz w:val="10"/>
                <w:szCs w:val="10"/>
                <w:color w:val="auto"/>
              </w:rPr>
            </w:pPr>
          </w:p>
        </w:tc>
        <w:tc>
          <w:tcPr>
            <w:tcW w:w="80" w:type="dxa"/>
            <w:vAlign w:val="bottom"/>
            <w:tcBorders>
              <w:top w:val="single" w:sz="8" w:color="auto"/>
              <w:bottom w:val="single" w:sz="8" w:color="CFF0FC"/>
            </w:tcBorders>
          </w:tcPr>
          <w:p>
            <w:pPr>
              <w:spacing w:after="0"/>
              <w:rPr>
                <w:sz w:val="10"/>
                <w:szCs w:val="10"/>
                <w:color w:val="auto"/>
              </w:rPr>
            </w:pPr>
          </w:p>
        </w:tc>
        <w:tc>
          <w:tcPr>
            <w:tcW w:w="360" w:type="dxa"/>
            <w:vAlign w:val="bottom"/>
            <w:tcBorders>
              <w:top w:val="single" w:sz="8" w:color="auto"/>
              <w:bottom w:val="single" w:sz="8" w:color="auto"/>
            </w:tcBorders>
          </w:tcPr>
          <w:p>
            <w:pPr>
              <w:spacing w:after="0"/>
              <w:rPr>
                <w:sz w:val="10"/>
                <w:szCs w:val="10"/>
                <w:color w:val="auto"/>
              </w:rPr>
            </w:pPr>
          </w:p>
        </w:tc>
        <w:tc>
          <w:tcPr>
            <w:tcW w:w="1040" w:type="dxa"/>
            <w:vAlign w:val="bottom"/>
            <w:tcBorders>
              <w:top w:val="single" w:sz="8" w:color="auto"/>
              <w:bottom w:val="single" w:sz="8" w:color="auto"/>
            </w:tcBorders>
          </w:tcPr>
          <w:p>
            <w:pPr>
              <w:jc w:val="right"/>
              <w:ind w:right="449"/>
              <w:spacing w:after="0" w:line="123" w:lineRule="exact"/>
              <w:rPr>
                <w:sz w:val="20"/>
                <w:szCs w:val="20"/>
                <w:color w:val="auto"/>
              </w:rPr>
            </w:pPr>
            <w:r>
              <w:rPr>
                <w:rFonts w:ascii="Arial" w:cs="Arial" w:eastAsia="Arial" w:hAnsi="Arial"/>
                <w:sz w:val="12"/>
                <w:szCs w:val="12"/>
                <w:b w:val="1"/>
                <w:bCs w:val="1"/>
                <w:color w:val="auto"/>
              </w:rPr>
              <w:t>2017</w:t>
            </w:r>
          </w:p>
        </w:tc>
        <w:tc>
          <w:tcPr>
            <w:tcW w:w="80" w:type="dxa"/>
            <w:vAlign w:val="bottom"/>
            <w:tcBorders>
              <w:bottom w:val="single" w:sz="8" w:color="CFF0FC"/>
            </w:tcBorders>
          </w:tcPr>
          <w:p>
            <w:pPr>
              <w:spacing w:after="0"/>
              <w:rPr>
                <w:sz w:val="10"/>
                <w:szCs w:val="10"/>
                <w:color w:val="auto"/>
              </w:rPr>
            </w:pPr>
          </w:p>
        </w:tc>
      </w:tr>
      <w:tr>
        <w:trPr>
          <w:trHeight w:val="188"/>
        </w:trPr>
        <w:tc>
          <w:tcPr>
            <w:tcW w:w="5160" w:type="dxa"/>
            <w:vAlign w:val="bottom"/>
            <w:shd w:val="clear" w:color="auto" w:fill="CFF0FC"/>
          </w:tcPr>
          <w:p>
            <w:pPr>
              <w:spacing w:after="0"/>
              <w:rPr>
                <w:sz w:val="20"/>
                <w:szCs w:val="20"/>
                <w:color w:val="auto"/>
              </w:rPr>
            </w:pPr>
            <w:r>
              <w:rPr>
                <w:rFonts w:ascii="Arial" w:cs="Arial" w:eastAsia="Arial" w:hAnsi="Arial"/>
                <w:sz w:val="15"/>
                <w:szCs w:val="15"/>
                <w:color w:val="auto"/>
              </w:rPr>
              <w:t>Net loss</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(15,448)</w:t>
            </w:r>
          </w:p>
        </w:tc>
        <w:tc>
          <w:tcPr>
            <w:tcW w:w="44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(8,075)</w:t>
            </w:r>
          </w:p>
        </w:tc>
      </w:tr>
      <w:tr>
        <w:trPr>
          <w:trHeight w:val="177"/>
        </w:trPr>
        <w:tc>
          <w:tcPr>
            <w:tcW w:w="5160" w:type="dxa"/>
            <w:vAlign w:val="bottom"/>
          </w:tcPr>
          <w:p>
            <w:pPr>
              <w:spacing w:after="0"/>
              <w:rPr>
                <w:sz w:val="20"/>
                <w:szCs w:val="20"/>
                <w:color w:val="auto"/>
              </w:rPr>
            </w:pPr>
            <w:r>
              <w:rPr>
                <w:rFonts w:ascii="Arial" w:cs="Arial" w:eastAsia="Arial" w:hAnsi="Arial"/>
                <w:sz w:val="15"/>
                <w:szCs w:val="15"/>
                <w:color w:val="auto"/>
              </w:rPr>
              <w:t>Weighted-average common shares outstanding — basic</w:t>
            </w:r>
          </w:p>
        </w:tc>
        <w:tc>
          <w:tcPr>
            <w:tcW w:w="3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37,832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36,205</w:t>
            </w:r>
          </w:p>
        </w:tc>
        <w:tc>
          <w:tcPr>
            <w:tcW w:w="80" w:type="dxa"/>
            <w:vAlign w:val="bottom"/>
          </w:tcPr>
          <w:p>
            <w:pPr>
              <w:spacing w:after="0"/>
              <w:rPr>
                <w:sz w:val="15"/>
                <w:szCs w:val="15"/>
                <w:color w:val="auto"/>
              </w:rPr>
            </w:pPr>
          </w:p>
        </w:tc>
      </w:tr>
      <w:tr>
        <w:trPr>
          <w:trHeight w:val="176"/>
        </w:trPr>
        <w:tc>
          <w:tcPr>
            <w:tcW w:w="5160" w:type="dxa"/>
            <w:vAlign w:val="bottom"/>
            <w:shd w:val="clear" w:color="auto" w:fill="CFF0FC"/>
          </w:tcPr>
          <w:p>
            <w:pPr>
              <w:spacing w:after="0"/>
              <w:rPr>
                <w:sz w:val="20"/>
                <w:szCs w:val="20"/>
                <w:color w:val="auto"/>
              </w:rPr>
            </w:pPr>
            <w:r>
              <w:rPr>
                <w:rFonts w:ascii="Arial" w:cs="Arial" w:eastAsia="Arial" w:hAnsi="Arial"/>
                <w:sz w:val="15"/>
                <w:szCs w:val="15"/>
                <w:color w:val="auto"/>
                <w:w w:val="90"/>
              </w:rPr>
              <w:t>Dilutive effect of share equivalents resulting from stock options, RSUs, ESPP and the</w:t>
            </w:r>
          </w:p>
        </w:tc>
        <w:tc>
          <w:tcPr>
            <w:tcW w:w="3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6"/>
        </w:trPr>
        <w:tc>
          <w:tcPr>
            <w:tcW w:w="5160" w:type="dxa"/>
            <w:vAlign w:val="bottom"/>
            <w:shd w:val="clear" w:color="auto" w:fill="CFF0FC"/>
          </w:tcPr>
          <w:p>
            <w:pPr>
              <w:spacing w:after="0"/>
              <w:rPr>
                <w:sz w:val="20"/>
                <w:szCs w:val="20"/>
                <w:color w:val="auto"/>
              </w:rPr>
            </w:pPr>
            <w:r>
              <w:rPr>
                <w:rFonts w:ascii="Arial" w:cs="Arial" w:eastAsia="Arial" w:hAnsi="Arial"/>
                <w:sz w:val="15"/>
                <w:szCs w:val="15"/>
                <w:color w:val="auto"/>
              </w:rPr>
              <w:t>Conversion Option of the 2022 Notes</w:t>
            </w:r>
          </w:p>
        </w:tc>
        <w:tc>
          <w:tcPr>
            <w:tcW w:w="3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r>
      <w:tr>
        <w:trPr>
          <w:trHeight w:val="167"/>
        </w:trPr>
        <w:tc>
          <w:tcPr>
            <w:tcW w:w="5160" w:type="dxa"/>
            <w:vAlign w:val="bottom"/>
          </w:tcPr>
          <w:p>
            <w:pPr>
              <w:spacing w:after="0" w:line="167" w:lineRule="exact"/>
              <w:rPr>
                <w:sz w:val="20"/>
                <w:szCs w:val="20"/>
                <w:color w:val="auto"/>
              </w:rPr>
            </w:pPr>
            <w:r>
              <w:rPr>
                <w:rFonts w:ascii="Arial" w:cs="Arial" w:eastAsia="Arial" w:hAnsi="Arial"/>
                <w:sz w:val="15"/>
                <w:szCs w:val="15"/>
                <w:color w:val="auto"/>
              </w:rPr>
              <w:t>Weighted-average common shares,</w:t>
            </w:r>
          </w:p>
        </w:tc>
        <w:tc>
          <w:tcPr>
            <w:tcW w:w="3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86"/>
        </w:trPr>
        <w:tc>
          <w:tcPr>
            <w:tcW w:w="5160" w:type="dxa"/>
            <w:vAlign w:val="bottom"/>
            <w:tcBorders>
              <w:bottom w:val="single" w:sz="8" w:color="CFF0FC"/>
            </w:tcBorders>
          </w:tcPr>
          <w:p>
            <w:pPr>
              <w:ind w:left="100"/>
              <w:spacing w:after="0"/>
              <w:rPr>
                <w:sz w:val="20"/>
                <w:szCs w:val="20"/>
                <w:color w:val="auto"/>
              </w:rPr>
            </w:pPr>
            <w:r>
              <w:rPr>
                <w:rFonts w:ascii="Arial" w:cs="Arial" w:eastAsia="Arial" w:hAnsi="Arial"/>
                <w:sz w:val="15"/>
                <w:szCs w:val="15"/>
                <w:color w:val="auto"/>
              </w:rPr>
              <w:t>outstanding — diluted</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37,832</w:t>
            </w:r>
          </w:p>
        </w:tc>
        <w:tc>
          <w:tcPr>
            <w:tcW w:w="12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36,205</w:t>
            </w:r>
          </w:p>
        </w:tc>
        <w:tc>
          <w:tcPr>
            <w:tcW w:w="80" w:type="dxa"/>
            <w:vAlign w:val="bottom"/>
            <w:tcBorders>
              <w:bottom w:val="single" w:sz="8" w:color="CFF0FC"/>
            </w:tcBorders>
          </w:tcPr>
          <w:p>
            <w:pPr>
              <w:spacing w:after="0"/>
              <w:rPr>
                <w:sz w:val="16"/>
                <w:szCs w:val="16"/>
                <w:color w:val="auto"/>
              </w:rPr>
            </w:pPr>
          </w:p>
        </w:tc>
      </w:tr>
      <w:tr>
        <w:trPr>
          <w:trHeight w:val="177"/>
        </w:trPr>
        <w:tc>
          <w:tcPr>
            <w:tcW w:w="5160" w:type="dxa"/>
            <w:vAlign w:val="bottom"/>
            <w:shd w:val="clear" w:color="auto" w:fill="CFF0FC"/>
          </w:tcPr>
          <w:p>
            <w:pPr>
              <w:spacing w:after="0"/>
              <w:rPr>
                <w:sz w:val="20"/>
                <w:szCs w:val="20"/>
                <w:color w:val="auto"/>
              </w:rPr>
            </w:pPr>
            <w:r>
              <w:rPr>
                <w:rFonts w:ascii="Arial" w:cs="Arial" w:eastAsia="Arial" w:hAnsi="Arial"/>
                <w:sz w:val="15"/>
                <w:szCs w:val="15"/>
                <w:color w:val="auto"/>
              </w:rPr>
              <w:t>Net loss per share, basic and diluted</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(0.41)</w:t>
            </w:r>
          </w:p>
        </w:tc>
        <w:tc>
          <w:tcPr>
            <w:tcW w:w="44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(0.22)</w:t>
            </w:r>
          </w:p>
        </w:tc>
      </w:tr>
      <w:tr>
        <w:trPr>
          <w:trHeight w:val="20"/>
        </w:trPr>
        <w:tc>
          <w:tcPr>
            <w:tcW w:w="5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198" w:lineRule="exact"/>
        <w:rPr>
          <w:sz w:val="20"/>
          <w:szCs w:val="20"/>
          <w:color w:val="auto"/>
        </w:rPr>
      </w:pPr>
    </w:p>
    <w:p>
      <w:pPr>
        <w:jc w:val="both"/>
        <w:ind w:right="60" w:firstLine="520"/>
        <w:spacing w:after="0" w:line="253" w:lineRule="auto"/>
        <w:rPr>
          <w:sz w:val="20"/>
          <w:szCs w:val="20"/>
          <w:color w:val="auto"/>
        </w:rPr>
      </w:pPr>
      <w:r>
        <w:rPr>
          <w:rFonts w:ascii="Arial" w:cs="Arial" w:eastAsia="Arial" w:hAnsi="Arial"/>
          <w:sz w:val="15"/>
          <w:szCs w:val="15"/>
          <w:color w:val="auto"/>
        </w:rPr>
        <w:t>Additionally, since the Company incurred net losses for each of the periods presented, diluted net loss per share is the same as basic net loss per share. The Company’s outstanding stock options, RSUs, ESPP, and Conversion Option of the 2022 Notes were not included in the calculation of diluted net loss per share as the effect would be anti-dilutive. The following table contains all potentially dilutive common stock equivalents.</w:t>
      </w:r>
    </w:p>
    <w:p>
      <w:pPr>
        <w:spacing w:after="0" w:line="40" w:lineRule="exact"/>
        <w:rPr>
          <w:sz w:val="20"/>
          <w:szCs w:val="20"/>
          <w:color w:val="auto"/>
        </w:rPr>
      </w:pPr>
    </w:p>
    <w:tbl>
      <w:tblPr>
        <w:tblLayout w:type="fixed"/>
        <w:tblInd w:w="1740" w:type="dxa"/>
        <w:tblCellMar>
          <w:top w:w="0" w:type="dxa"/>
          <w:left w:w="0" w:type="dxa"/>
          <w:bottom w:w="0" w:type="dxa"/>
          <w:right w:w="0" w:type="dxa"/>
        </w:tblCellMar>
      </w:tblPr>
      <w:tr>
        <w:trPr>
          <w:trHeight w:val="138"/>
        </w:trPr>
        <w:tc>
          <w:tcPr>
            <w:tcW w:w="548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2"/>
                <w:szCs w:val="12"/>
                <w:b w:val="1"/>
                <w:bCs w:val="1"/>
                <w:color w:val="auto"/>
                <w:w w:val="96"/>
              </w:rPr>
              <w:t>As of March 31,</w:t>
            </w:r>
          </w:p>
        </w:tc>
        <w:tc>
          <w:tcPr>
            <w:tcW w:w="7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23"/>
        </w:trPr>
        <w:tc>
          <w:tcPr>
            <w:tcW w:w="5480" w:type="dxa"/>
            <w:vAlign w:val="bottom"/>
          </w:tcPr>
          <w:p>
            <w:pPr>
              <w:spacing w:after="0"/>
              <w:rPr>
                <w:sz w:val="10"/>
                <w:szCs w:val="10"/>
                <w:color w:val="auto"/>
              </w:rPr>
            </w:pPr>
          </w:p>
        </w:tc>
        <w:tc>
          <w:tcPr>
            <w:tcW w:w="74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2"/>
                <w:szCs w:val="12"/>
                <w:b w:val="1"/>
                <w:bCs w:val="1"/>
                <w:color w:val="auto"/>
              </w:rPr>
              <w:t>2018</w:t>
            </w:r>
          </w:p>
        </w:tc>
        <w:tc>
          <w:tcPr>
            <w:tcW w:w="9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350"/>
              <w:spacing w:after="0" w:line="123" w:lineRule="exact"/>
              <w:rPr>
                <w:sz w:val="20"/>
                <w:szCs w:val="20"/>
                <w:color w:val="auto"/>
              </w:rPr>
            </w:pPr>
            <w:r>
              <w:rPr>
                <w:rFonts w:ascii="Arial" w:cs="Arial" w:eastAsia="Arial" w:hAnsi="Arial"/>
                <w:sz w:val="12"/>
                <w:szCs w:val="12"/>
                <w:b w:val="1"/>
                <w:bCs w:val="1"/>
                <w:color w:val="auto"/>
              </w:rPr>
              <w:t>2017</w:t>
            </w:r>
          </w:p>
        </w:tc>
        <w:tc>
          <w:tcPr>
            <w:tcW w:w="80" w:type="dxa"/>
            <w:vAlign w:val="bottom"/>
          </w:tcPr>
          <w:p>
            <w:pPr>
              <w:spacing w:after="0"/>
              <w:rPr>
                <w:sz w:val="10"/>
                <w:szCs w:val="10"/>
                <w:color w:val="auto"/>
              </w:rPr>
            </w:pPr>
          </w:p>
        </w:tc>
      </w:tr>
      <w:tr>
        <w:trPr>
          <w:trHeight w:val="123"/>
        </w:trPr>
        <w:tc>
          <w:tcPr>
            <w:tcW w:w="5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jc w:val="right"/>
              <w:ind w:right="72"/>
              <w:spacing w:after="0" w:line="123" w:lineRule="exact"/>
              <w:rPr>
                <w:sz w:val="20"/>
                <w:szCs w:val="20"/>
                <w:color w:val="auto"/>
              </w:rPr>
            </w:pPr>
            <w:r>
              <w:rPr>
                <w:rFonts w:ascii="Arial" w:cs="Arial" w:eastAsia="Arial" w:hAnsi="Arial"/>
                <w:sz w:val="12"/>
                <w:szCs w:val="12"/>
                <w:b w:val="1"/>
                <w:bCs w:val="1"/>
                <w:color w:val="auto"/>
                <w:w w:val="96"/>
              </w:rPr>
              <w:t>(in thousands)</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86"/>
        </w:trPr>
        <w:tc>
          <w:tcPr>
            <w:tcW w:w="62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Options to purchase common shares</w:t>
            </w:r>
          </w:p>
        </w:tc>
        <w:tc>
          <w:tcPr>
            <w:tcW w:w="960" w:type="dxa"/>
            <w:vAlign w:val="bottom"/>
            <w:shd w:val="clear" w:color="auto" w:fill="CFF0FC"/>
          </w:tcPr>
          <w:p>
            <w:pPr>
              <w:jc w:val="right"/>
              <w:ind w:right="532"/>
              <w:spacing w:after="0"/>
              <w:rPr>
                <w:sz w:val="20"/>
                <w:szCs w:val="20"/>
                <w:color w:val="auto"/>
              </w:rPr>
            </w:pPr>
            <w:r>
              <w:rPr>
                <w:rFonts w:ascii="Arial" w:cs="Arial" w:eastAsia="Arial" w:hAnsi="Arial"/>
                <w:sz w:val="15"/>
                <w:szCs w:val="15"/>
                <w:color w:val="auto"/>
                <w:w w:val="90"/>
              </w:rPr>
              <w:t>2,142</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2,561</w:t>
            </w:r>
          </w:p>
        </w:tc>
        <w:tc>
          <w:tcPr>
            <w:tcW w:w="80" w:type="dxa"/>
            <w:vAlign w:val="bottom"/>
            <w:shd w:val="clear" w:color="auto" w:fill="CFF0FC"/>
          </w:tcPr>
          <w:p>
            <w:pPr>
              <w:spacing w:after="0"/>
              <w:rPr>
                <w:sz w:val="16"/>
                <w:szCs w:val="16"/>
                <w:color w:val="auto"/>
              </w:rPr>
            </w:pPr>
          </w:p>
        </w:tc>
      </w:tr>
      <w:tr>
        <w:trPr>
          <w:trHeight w:val="186"/>
        </w:trPr>
        <w:tc>
          <w:tcPr>
            <w:tcW w:w="6220" w:type="dxa"/>
            <w:vAlign w:val="bottom"/>
            <w:gridSpan w:val="2"/>
          </w:tcPr>
          <w:p>
            <w:pPr>
              <w:spacing w:after="0"/>
              <w:rPr>
                <w:sz w:val="20"/>
                <w:szCs w:val="20"/>
                <w:color w:val="auto"/>
              </w:rPr>
            </w:pPr>
            <w:r>
              <w:rPr>
                <w:rFonts w:ascii="Arial" w:cs="Arial" w:eastAsia="Arial" w:hAnsi="Arial"/>
                <w:sz w:val="15"/>
                <w:szCs w:val="15"/>
                <w:color w:val="auto"/>
              </w:rPr>
              <w:t>RSUs</w:t>
            </w:r>
          </w:p>
        </w:tc>
        <w:tc>
          <w:tcPr>
            <w:tcW w:w="960" w:type="dxa"/>
            <w:vAlign w:val="bottom"/>
          </w:tcPr>
          <w:p>
            <w:pPr>
              <w:jc w:val="right"/>
              <w:ind w:right="532"/>
              <w:spacing w:after="0"/>
              <w:rPr>
                <w:sz w:val="20"/>
                <w:szCs w:val="20"/>
                <w:color w:val="auto"/>
              </w:rPr>
            </w:pPr>
            <w:r>
              <w:rPr>
                <w:rFonts w:ascii="Arial" w:cs="Arial" w:eastAsia="Arial" w:hAnsi="Arial"/>
                <w:sz w:val="15"/>
                <w:szCs w:val="15"/>
                <w:color w:val="auto"/>
                <w:w w:val="90"/>
              </w:rPr>
              <w:t>2,284</w:t>
            </w:r>
          </w:p>
        </w:tc>
        <w:tc>
          <w:tcPr>
            <w:tcW w:w="740" w:type="dxa"/>
            <w:vAlign w:val="bottom"/>
          </w:tcPr>
          <w:p>
            <w:pPr>
              <w:jc w:val="right"/>
              <w:spacing w:after="0"/>
              <w:rPr>
                <w:sz w:val="20"/>
                <w:szCs w:val="20"/>
                <w:color w:val="auto"/>
              </w:rPr>
            </w:pPr>
            <w:r>
              <w:rPr>
                <w:rFonts w:ascii="Arial" w:cs="Arial" w:eastAsia="Arial" w:hAnsi="Arial"/>
                <w:sz w:val="15"/>
                <w:szCs w:val="15"/>
                <w:color w:val="auto"/>
              </w:rPr>
              <w:t>2,013</w:t>
            </w:r>
          </w:p>
        </w:tc>
        <w:tc>
          <w:tcPr>
            <w:tcW w:w="80" w:type="dxa"/>
            <w:vAlign w:val="bottom"/>
          </w:tcPr>
          <w:p>
            <w:pPr>
              <w:spacing w:after="0"/>
              <w:rPr>
                <w:sz w:val="16"/>
                <w:szCs w:val="16"/>
                <w:color w:val="auto"/>
              </w:rPr>
            </w:pPr>
          </w:p>
        </w:tc>
      </w:tr>
      <w:tr>
        <w:trPr>
          <w:trHeight w:val="186"/>
        </w:trPr>
        <w:tc>
          <w:tcPr>
            <w:tcW w:w="62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Conversation option of the 2022 Notes</w:t>
            </w:r>
          </w:p>
        </w:tc>
        <w:tc>
          <w:tcPr>
            <w:tcW w:w="960" w:type="dxa"/>
            <w:vAlign w:val="bottom"/>
            <w:shd w:val="clear" w:color="auto" w:fill="CFF0FC"/>
          </w:tcPr>
          <w:p>
            <w:pPr>
              <w:jc w:val="right"/>
              <w:ind w:right="532"/>
              <w:spacing w:after="0"/>
              <w:rPr>
                <w:sz w:val="20"/>
                <w:szCs w:val="20"/>
                <w:color w:val="auto"/>
              </w:rPr>
            </w:pPr>
            <w:r>
              <w:rPr>
                <w:rFonts w:ascii="Arial" w:cs="Arial" w:eastAsia="Arial" w:hAnsi="Arial"/>
                <w:sz w:val="15"/>
                <w:szCs w:val="15"/>
                <w:color w:val="auto"/>
              </w:rPr>
              <w:t>383</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r>
      <w:tr>
        <w:trPr>
          <w:trHeight w:val="187"/>
        </w:trPr>
        <w:tc>
          <w:tcPr>
            <w:tcW w:w="6220" w:type="dxa"/>
            <w:vAlign w:val="bottom"/>
            <w:gridSpan w:val="2"/>
          </w:tcPr>
          <w:p>
            <w:pPr>
              <w:spacing w:after="0"/>
              <w:rPr>
                <w:sz w:val="20"/>
                <w:szCs w:val="20"/>
                <w:color w:val="auto"/>
              </w:rPr>
            </w:pPr>
            <w:r>
              <w:rPr>
                <w:rFonts w:ascii="Arial" w:cs="Arial" w:eastAsia="Arial" w:hAnsi="Arial"/>
                <w:sz w:val="15"/>
                <w:szCs w:val="15"/>
                <w:color w:val="auto"/>
              </w:rPr>
              <w:t>ESPP</w:t>
            </w:r>
          </w:p>
        </w:tc>
        <w:tc>
          <w:tcPr>
            <w:tcW w:w="960" w:type="dxa"/>
            <w:vAlign w:val="bottom"/>
          </w:tcPr>
          <w:p>
            <w:pPr>
              <w:jc w:val="right"/>
              <w:ind w:right="532"/>
              <w:spacing w:after="0"/>
              <w:rPr>
                <w:sz w:val="20"/>
                <w:szCs w:val="20"/>
                <w:color w:val="auto"/>
              </w:rPr>
            </w:pPr>
            <w:r>
              <w:rPr>
                <w:rFonts w:ascii="Arial" w:cs="Arial" w:eastAsia="Arial" w:hAnsi="Arial"/>
                <w:sz w:val="15"/>
                <w:szCs w:val="15"/>
                <w:color w:val="auto"/>
              </w:rPr>
              <w:t>8</w:t>
            </w:r>
          </w:p>
        </w:tc>
        <w:tc>
          <w:tcPr>
            <w:tcW w:w="740" w:type="dxa"/>
            <w:vAlign w:val="bottom"/>
          </w:tcPr>
          <w:p>
            <w:pPr>
              <w:jc w:val="right"/>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16"/>
                <w:szCs w:val="16"/>
                <w:color w:val="auto"/>
              </w:rPr>
            </w:pPr>
          </w:p>
        </w:tc>
      </w:tr>
    </w:tbl>
    <w:p>
      <w:pPr>
        <w:spacing w:after="0" w:line="165" w:lineRule="exact"/>
        <w:rPr>
          <w:sz w:val="20"/>
          <w:szCs w:val="20"/>
          <w:color w:val="auto"/>
        </w:rPr>
      </w:pPr>
    </w:p>
    <w:p>
      <w:pPr>
        <w:ind w:firstLine="764"/>
        <w:spacing w:after="0" w:line="255" w:lineRule="auto"/>
        <w:rPr>
          <w:sz w:val="20"/>
          <w:szCs w:val="20"/>
          <w:color w:val="auto"/>
        </w:rPr>
      </w:pPr>
      <w:r>
        <w:rPr>
          <w:rFonts w:ascii="Arial" w:cs="Arial" w:eastAsia="Arial" w:hAnsi="Arial"/>
          <w:sz w:val="15"/>
          <w:szCs w:val="15"/>
          <w:color w:val="auto"/>
        </w:rPr>
        <w:t>The Company expects to settle the principal amount of the 2022 Notes in cash, and therefore, the Company uses the treasury stock method for calculating any potential dilutive effect of the Conversion Option on diluted net income per share, if applicable. The Conversion Option will have a dilutive impact on net income per share of common stock when the average market price of the Company’s common stock for a given period exceeds the conversion price of the 2022 Notes of $94.77 per share. During the three months ended March 31, 2018 the 2022 Notes did not meet the Conversion Option and are not convertible.</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 Fair Value of Financial Instruments</w:t>
      </w:r>
    </w:p>
    <w:p>
      <w:pPr>
        <w:spacing w:after="0" w:line="95" w:lineRule="exact"/>
        <w:rPr>
          <w:sz w:val="20"/>
          <w:szCs w:val="20"/>
          <w:color w:val="auto"/>
        </w:rPr>
      </w:pPr>
    </w:p>
    <w:p>
      <w:pPr>
        <w:ind w:right="140" w:firstLine="520"/>
        <w:spacing w:after="0" w:line="253" w:lineRule="auto"/>
        <w:rPr>
          <w:sz w:val="20"/>
          <w:szCs w:val="20"/>
          <w:color w:val="auto"/>
        </w:rPr>
      </w:pPr>
      <w:r>
        <w:rPr>
          <w:rFonts w:ascii="Arial" w:cs="Arial" w:eastAsia="Arial" w:hAnsi="Arial"/>
          <w:sz w:val="15"/>
          <w:szCs w:val="15"/>
          <w:color w:val="auto"/>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spacing w:after="0" w:line="69" w:lineRule="exact"/>
        <w:rPr>
          <w:sz w:val="20"/>
          <w:szCs w:val="20"/>
          <w:color w:val="auto"/>
        </w:rPr>
      </w:pPr>
    </w:p>
    <w:p>
      <w:pPr>
        <w:ind w:left="1040" w:hanging="517"/>
        <w:spacing w:after="0"/>
        <w:tabs>
          <w:tab w:leader="none" w:pos="1040" w:val="left"/>
        </w:tabs>
        <w:numPr>
          <w:ilvl w:val="0"/>
          <w:numId w:val="6"/>
        </w:numPr>
        <w:rPr>
          <w:rFonts w:ascii="Arial" w:cs="Arial" w:eastAsia="Arial" w:hAnsi="Arial"/>
          <w:sz w:val="15"/>
          <w:szCs w:val="15"/>
          <w:color w:val="auto"/>
        </w:rPr>
      </w:pPr>
      <w:r>
        <w:rPr>
          <w:rFonts w:ascii="Arial" w:cs="Arial" w:eastAsia="Arial" w:hAnsi="Arial"/>
          <w:sz w:val="15"/>
          <w:szCs w:val="15"/>
          <w:color w:val="auto"/>
        </w:rPr>
        <w:t>Level 1 — Quoted prices in active markets for identical assets or liabilities.</w:t>
      </w:r>
    </w:p>
    <w:p>
      <w:pPr>
        <w:spacing w:after="0" w:line="90" w:lineRule="exact"/>
        <w:rPr>
          <w:rFonts w:ascii="Arial" w:cs="Arial" w:eastAsia="Arial" w:hAnsi="Arial"/>
          <w:sz w:val="15"/>
          <w:szCs w:val="15"/>
          <w:color w:val="auto"/>
        </w:rPr>
      </w:pPr>
    </w:p>
    <w:p>
      <w:pPr>
        <w:ind w:left="1040" w:right="220" w:hanging="517"/>
        <w:spacing w:after="0" w:line="253" w:lineRule="auto"/>
        <w:tabs>
          <w:tab w:leader="none" w:pos="1040" w:val="left"/>
        </w:tabs>
        <w:numPr>
          <w:ilvl w:val="0"/>
          <w:numId w:val="6"/>
        </w:numPr>
        <w:rPr>
          <w:rFonts w:ascii="Arial" w:cs="Arial" w:eastAsia="Arial" w:hAnsi="Arial"/>
          <w:sz w:val="15"/>
          <w:szCs w:val="15"/>
          <w:color w:val="auto"/>
        </w:rPr>
      </w:pPr>
      <w:r>
        <w:rPr>
          <w:rFonts w:ascii="Arial" w:cs="Arial" w:eastAsia="Arial" w:hAnsi="Arial"/>
          <w:sz w:val="15"/>
          <w:szCs w:val="15"/>
          <w:color w:val="auto"/>
        </w:rPr>
        <w:t>Level 2 —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spacing w:after="0" w:line="68" w:lineRule="exact"/>
        <w:rPr>
          <w:rFonts w:ascii="Arial" w:cs="Arial" w:eastAsia="Arial" w:hAnsi="Arial"/>
          <w:sz w:val="15"/>
          <w:szCs w:val="15"/>
          <w:color w:val="auto"/>
        </w:rPr>
      </w:pPr>
    </w:p>
    <w:p>
      <w:pPr>
        <w:ind w:left="1040" w:hanging="517"/>
        <w:spacing w:after="0"/>
        <w:tabs>
          <w:tab w:leader="none" w:pos="1040" w:val="left"/>
        </w:tabs>
        <w:numPr>
          <w:ilvl w:val="0"/>
          <w:numId w:val="6"/>
        </w:numPr>
        <w:rPr>
          <w:rFonts w:ascii="Arial" w:cs="Arial" w:eastAsia="Arial" w:hAnsi="Arial"/>
          <w:sz w:val="15"/>
          <w:szCs w:val="15"/>
          <w:color w:val="auto"/>
        </w:rPr>
      </w:pPr>
      <w:r>
        <w:rPr>
          <w:rFonts w:ascii="Arial" w:cs="Arial" w:eastAsia="Arial" w:hAnsi="Arial"/>
          <w:sz w:val="15"/>
          <w:szCs w:val="15"/>
          <w:color w:val="auto"/>
        </w:rPr>
        <w:t>Level 3 — Unobservable inputs to the valuation methodology that are significant to the measurement of fair value of assets or liabilities.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following table details the fair value measurements within the fair value hierarchy of the Company’s financial assets and liabilities at March 31, 2018 and December 31, 2017.</w:t>
      </w: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1390"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20"/>
          </w:cols>
          <w:pgMar w:left="220" w:top="300" w:right="2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38"/>
        </w:trPr>
        <w:tc>
          <w:tcPr>
            <w:tcW w:w="574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88"/>
              </w:rPr>
              <w:t>March 31, 2018</w:t>
            </w: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5740" w:type="dxa"/>
            <w:vAlign w:val="bottom"/>
          </w:tcPr>
          <w:p>
            <w:pPr>
              <w:spacing w:after="0"/>
              <w:rPr>
                <w:sz w:val="10"/>
                <w:szCs w:val="10"/>
                <w:color w:val="auto"/>
              </w:rPr>
            </w:pPr>
          </w:p>
        </w:tc>
        <w:tc>
          <w:tcPr>
            <w:tcW w:w="78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2"/>
                <w:szCs w:val="12"/>
                <w:b w:val="1"/>
                <w:bCs w:val="1"/>
                <w:color w:val="auto"/>
              </w:rPr>
              <w:t>Level 1</w:t>
            </w:r>
          </w:p>
        </w:tc>
        <w:tc>
          <w:tcPr>
            <w:tcW w:w="4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2"/>
          </w:tcPr>
          <w:p>
            <w:pPr>
              <w:ind w:left="180"/>
              <w:spacing w:after="0" w:line="123" w:lineRule="exact"/>
              <w:rPr>
                <w:sz w:val="20"/>
                <w:szCs w:val="20"/>
                <w:color w:val="auto"/>
              </w:rPr>
            </w:pPr>
            <w:r>
              <w:rPr>
                <w:rFonts w:ascii="Arial" w:cs="Arial" w:eastAsia="Arial" w:hAnsi="Arial"/>
                <w:sz w:val="12"/>
                <w:szCs w:val="12"/>
                <w:b w:val="1"/>
                <w:bCs w:val="1"/>
                <w:color w:val="auto"/>
              </w:rPr>
              <w:t>Level 2</w:t>
            </w:r>
          </w:p>
        </w:tc>
        <w:tc>
          <w:tcPr>
            <w:tcW w:w="920" w:type="dxa"/>
            <w:vAlign w:val="bottom"/>
            <w:tcBorders>
              <w:bottom w:val="single" w:sz="8" w:color="auto"/>
            </w:tcBorders>
          </w:tcPr>
          <w:p>
            <w:pPr>
              <w:jc w:val="right"/>
              <w:ind w:right="72"/>
              <w:spacing w:after="0" w:line="123" w:lineRule="exact"/>
              <w:rPr>
                <w:sz w:val="20"/>
                <w:szCs w:val="20"/>
                <w:color w:val="auto"/>
              </w:rPr>
            </w:pPr>
            <w:r>
              <w:rPr>
                <w:rFonts w:ascii="Arial" w:cs="Arial" w:eastAsia="Arial" w:hAnsi="Arial"/>
                <w:sz w:val="12"/>
                <w:szCs w:val="12"/>
                <w:b w:val="1"/>
                <w:bCs w:val="1"/>
                <w:color w:val="auto"/>
              </w:rPr>
              <w:t>Level 3</w:t>
            </w:r>
          </w:p>
        </w:tc>
        <w:tc>
          <w:tcPr>
            <w:tcW w:w="3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29"/>
              <w:spacing w:after="0" w:line="123" w:lineRule="exact"/>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10"/>
                <w:szCs w:val="10"/>
                <w:color w:val="auto"/>
              </w:rPr>
            </w:pPr>
          </w:p>
        </w:tc>
      </w:tr>
      <w:tr>
        <w:trPr>
          <w:trHeight w:val="123"/>
        </w:trPr>
        <w:tc>
          <w:tcPr>
            <w:tcW w:w="5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140" w:type="dxa"/>
            <w:vAlign w:val="bottom"/>
            <w:gridSpan w:val="3"/>
          </w:tcPr>
          <w:p>
            <w:pPr>
              <w:jc w:val="center"/>
              <w:spacing w:after="0" w:line="123" w:lineRule="exact"/>
              <w:rPr>
                <w:sz w:val="20"/>
                <w:szCs w:val="20"/>
                <w:color w:val="auto"/>
              </w:rPr>
            </w:pPr>
            <w:r>
              <w:rPr>
                <w:rFonts w:ascii="Arial" w:cs="Arial" w:eastAsia="Arial" w:hAnsi="Arial"/>
                <w:sz w:val="12"/>
                <w:szCs w:val="12"/>
                <w:b w:val="1"/>
                <w:bCs w:val="1"/>
                <w:color w:val="auto"/>
                <w:w w:val="87"/>
              </w:rPr>
              <w:t>(in thousands)</w:t>
            </w: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86"/>
        </w:trPr>
        <w:tc>
          <w:tcPr>
            <w:tcW w:w="5740" w:type="dxa"/>
            <w:vAlign w:val="bottom"/>
            <w:shd w:val="clear" w:color="auto" w:fill="CFF0FC"/>
          </w:tcPr>
          <w:p>
            <w:pPr>
              <w:spacing w:after="0"/>
              <w:rPr>
                <w:sz w:val="20"/>
                <w:szCs w:val="20"/>
                <w:color w:val="auto"/>
              </w:rPr>
            </w:pPr>
            <w:r>
              <w:rPr>
                <w:rFonts w:ascii="Arial" w:cs="Arial" w:eastAsia="Arial" w:hAnsi="Arial"/>
                <w:sz w:val="15"/>
                <w:szCs w:val="15"/>
                <w:color w:val="auto"/>
              </w:rPr>
              <w:t>Cash equivalents and investments:</w:t>
            </w:r>
          </w:p>
        </w:tc>
        <w:tc>
          <w:tcPr>
            <w:tcW w:w="7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6"/>
        </w:trPr>
        <w:tc>
          <w:tcPr>
            <w:tcW w:w="5740" w:type="dxa"/>
            <w:vAlign w:val="bottom"/>
          </w:tcPr>
          <w:p>
            <w:pPr>
              <w:ind w:left="200"/>
              <w:spacing w:after="0"/>
              <w:rPr>
                <w:sz w:val="20"/>
                <w:szCs w:val="20"/>
                <w:color w:val="auto"/>
              </w:rPr>
            </w:pPr>
            <w:r>
              <w:rPr>
                <w:rFonts w:ascii="Arial" w:cs="Arial" w:eastAsia="Arial" w:hAnsi="Arial"/>
                <w:sz w:val="15"/>
                <w:szCs w:val="15"/>
                <w:color w:val="auto"/>
              </w:rPr>
              <w:t>Money market funds</w:t>
            </w:r>
          </w:p>
        </w:tc>
        <w:tc>
          <w:tcPr>
            <w:tcW w:w="780" w:type="dxa"/>
            <w:vAlign w:val="bottom"/>
          </w:tcPr>
          <w:p>
            <w:pPr>
              <w:jc w:val="right"/>
              <w:ind w:right="666"/>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4,727</w:t>
            </w:r>
          </w:p>
        </w:tc>
        <w:tc>
          <w:tcPr>
            <w:tcW w:w="260" w:type="dxa"/>
            <w:vAlign w:val="bottom"/>
          </w:tcPr>
          <w:p>
            <w:pPr>
              <w:spacing w:after="0"/>
              <w:rPr>
                <w:sz w:val="16"/>
                <w:szCs w:val="16"/>
                <w:color w:val="auto"/>
              </w:rPr>
            </w:pP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772"/>
              <w:spacing w:after="0"/>
              <w:rPr>
                <w:sz w:val="20"/>
                <w:szCs w:val="20"/>
                <w:color w:val="auto"/>
              </w:rPr>
            </w:pPr>
            <w:r>
              <w:rPr>
                <w:rFonts w:ascii="Arial" w:cs="Arial" w:eastAsia="Arial" w:hAnsi="Arial"/>
                <w:sz w:val="15"/>
                <w:szCs w:val="15"/>
                <w:color w:val="auto"/>
                <w:w w:val="71"/>
              </w:rPr>
              <w:t>$</w:t>
            </w:r>
          </w:p>
        </w:tc>
        <w:tc>
          <w:tcPr>
            <w:tcW w:w="300" w:type="dxa"/>
            <w:vAlign w:val="bottom"/>
          </w:tcPr>
          <w:p>
            <w:pPr>
              <w:ind w:left="140"/>
              <w:spacing w:after="0"/>
              <w:rPr>
                <w:sz w:val="20"/>
                <w:szCs w:val="20"/>
                <w:color w:val="auto"/>
              </w:rPr>
            </w:pPr>
            <w:r>
              <w:rPr>
                <w:rFonts w:ascii="Arial" w:cs="Arial" w:eastAsia="Arial" w:hAnsi="Arial"/>
                <w:sz w:val="15"/>
                <w:szCs w:val="15"/>
                <w:color w:val="auto"/>
                <w:w w:val="93"/>
              </w:rPr>
              <w:t>—</w:t>
            </w:r>
          </w:p>
        </w:tc>
        <w:tc>
          <w:tcPr>
            <w:tcW w:w="5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4,727</w:t>
            </w:r>
          </w:p>
        </w:tc>
        <w:tc>
          <w:tcPr>
            <w:tcW w:w="100" w:type="dxa"/>
            <w:vAlign w:val="bottom"/>
          </w:tcPr>
          <w:p>
            <w:pPr>
              <w:spacing w:after="0"/>
              <w:rPr>
                <w:sz w:val="16"/>
                <w:szCs w:val="16"/>
                <w:color w:val="auto"/>
              </w:rPr>
            </w:pPr>
          </w:p>
        </w:tc>
      </w:tr>
      <w:tr>
        <w:trPr>
          <w:trHeight w:val="186"/>
        </w:trPr>
        <w:tc>
          <w:tcPr>
            <w:tcW w:w="57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Commercial paper</w:t>
            </w:r>
          </w:p>
        </w:tc>
        <w:tc>
          <w:tcPr>
            <w:tcW w:w="78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8,875</w:t>
            </w: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00" w:type="dxa"/>
            <w:vAlign w:val="bottom"/>
            <w:shd w:val="clear" w:color="auto" w:fill="CFF0FC"/>
          </w:tcPr>
          <w:p>
            <w:pPr>
              <w:ind w:left="140"/>
              <w:spacing w:after="0"/>
              <w:rPr>
                <w:sz w:val="20"/>
                <w:szCs w:val="20"/>
                <w:color w:val="auto"/>
              </w:rPr>
            </w:pPr>
            <w:r>
              <w:rPr>
                <w:rFonts w:ascii="Arial" w:cs="Arial" w:eastAsia="Arial" w:hAnsi="Arial"/>
                <w:sz w:val="15"/>
                <w:szCs w:val="15"/>
                <w:color w:val="auto"/>
                <w:w w:val="93"/>
              </w:rPr>
              <w:t>—</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8,875</w:t>
            </w:r>
          </w:p>
        </w:tc>
        <w:tc>
          <w:tcPr>
            <w:tcW w:w="100" w:type="dxa"/>
            <w:vAlign w:val="bottom"/>
            <w:shd w:val="clear" w:color="auto" w:fill="CFF0FC"/>
          </w:tcPr>
          <w:p>
            <w:pPr>
              <w:spacing w:after="0"/>
              <w:rPr>
                <w:sz w:val="16"/>
                <w:szCs w:val="16"/>
                <w:color w:val="auto"/>
              </w:rPr>
            </w:pPr>
          </w:p>
        </w:tc>
      </w:tr>
      <w:tr>
        <w:trPr>
          <w:trHeight w:val="186"/>
        </w:trPr>
        <w:tc>
          <w:tcPr>
            <w:tcW w:w="5740" w:type="dxa"/>
            <w:vAlign w:val="bottom"/>
          </w:tcPr>
          <w:p>
            <w:pPr>
              <w:ind w:left="200"/>
              <w:spacing w:after="0"/>
              <w:rPr>
                <w:sz w:val="20"/>
                <w:szCs w:val="20"/>
                <w:color w:val="auto"/>
              </w:rPr>
            </w:pPr>
            <w:r>
              <w:rPr>
                <w:rFonts w:ascii="Arial" w:cs="Arial" w:eastAsia="Arial" w:hAnsi="Arial"/>
                <w:sz w:val="15"/>
                <w:szCs w:val="15"/>
                <w:color w:val="auto"/>
              </w:rPr>
              <w:t>Corporate bonds</w:t>
            </w:r>
          </w:p>
        </w:tc>
        <w:tc>
          <w:tcPr>
            <w:tcW w:w="780" w:type="dxa"/>
            <w:vAlign w:val="bottom"/>
          </w:tcPr>
          <w:p>
            <w:pPr>
              <w:spacing w:after="0"/>
              <w:rPr>
                <w:sz w:val="16"/>
                <w:szCs w:val="16"/>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83,159</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ind w:left="140"/>
              <w:spacing w:after="0"/>
              <w:rPr>
                <w:sz w:val="20"/>
                <w:szCs w:val="20"/>
                <w:color w:val="auto"/>
              </w:rPr>
            </w:pPr>
            <w:r>
              <w:rPr>
                <w:rFonts w:ascii="Arial" w:cs="Arial" w:eastAsia="Arial" w:hAnsi="Arial"/>
                <w:sz w:val="15"/>
                <w:szCs w:val="15"/>
                <w:color w:val="auto"/>
                <w:w w:val="93"/>
              </w:rPr>
              <w:t>—</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83,159</w:t>
            </w:r>
          </w:p>
        </w:tc>
        <w:tc>
          <w:tcPr>
            <w:tcW w:w="100" w:type="dxa"/>
            <w:vAlign w:val="bottom"/>
          </w:tcPr>
          <w:p>
            <w:pPr>
              <w:spacing w:after="0"/>
              <w:rPr>
                <w:sz w:val="16"/>
                <w:szCs w:val="16"/>
                <w:color w:val="auto"/>
              </w:rPr>
            </w:pPr>
          </w:p>
        </w:tc>
      </w:tr>
      <w:tr>
        <w:trPr>
          <w:trHeight w:val="186"/>
        </w:trPr>
        <w:tc>
          <w:tcPr>
            <w:tcW w:w="57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U.S. government agency obligations</w:t>
            </w:r>
          </w:p>
        </w:tc>
        <w:tc>
          <w:tcPr>
            <w:tcW w:w="78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2,991</w:t>
            </w: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00" w:type="dxa"/>
            <w:vAlign w:val="bottom"/>
            <w:shd w:val="clear" w:color="auto" w:fill="CFF0FC"/>
          </w:tcPr>
          <w:p>
            <w:pPr>
              <w:ind w:left="140"/>
              <w:spacing w:after="0"/>
              <w:rPr>
                <w:sz w:val="20"/>
                <w:szCs w:val="20"/>
                <w:color w:val="auto"/>
              </w:rPr>
            </w:pPr>
            <w:r>
              <w:rPr>
                <w:rFonts w:ascii="Arial" w:cs="Arial" w:eastAsia="Arial" w:hAnsi="Arial"/>
                <w:sz w:val="15"/>
                <w:szCs w:val="15"/>
                <w:color w:val="auto"/>
                <w:w w:val="93"/>
              </w:rPr>
              <w:t>—</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2,991</w:t>
            </w:r>
          </w:p>
        </w:tc>
        <w:tc>
          <w:tcPr>
            <w:tcW w:w="100" w:type="dxa"/>
            <w:vAlign w:val="bottom"/>
            <w:shd w:val="clear" w:color="auto" w:fill="CFF0FC"/>
          </w:tcPr>
          <w:p>
            <w:pPr>
              <w:spacing w:after="0"/>
              <w:rPr>
                <w:sz w:val="16"/>
                <w:szCs w:val="16"/>
                <w:color w:val="auto"/>
              </w:rPr>
            </w:pPr>
          </w:p>
        </w:tc>
      </w:tr>
      <w:tr>
        <w:trPr>
          <w:trHeight w:val="186"/>
        </w:trPr>
        <w:tc>
          <w:tcPr>
            <w:tcW w:w="5740" w:type="dxa"/>
            <w:vAlign w:val="bottom"/>
          </w:tcPr>
          <w:p>
            <w:pPr>
              <w:ind w:left="200"/>
              <w:spacing w:after="0"/>
              <w:rPr>
                <w:sz w:val="20"/>
                <w:szCs w:val="20"/>
                <w:color w:val="auto"/>
              </w:rPr>
            </w:pPr>
            <w:r>
              <w:rPr>
                <w:rFonts w:ascii="Arial" w:cs="Arial" w:eastAsia="Arial" w:hAnsi="Arial"/>
                <w:sz w:val="15"/>
                <w:szCs w:val="15"/>
                <w:color w:val="auto"/>
              </w:rPr>
              <w:t>U.S. Treasury securities</w:t>
            </w:r>
          </w:p>
        </w:tc>
        <w:tc>
          <w:tcPr>
            <w:tcW w:w="780" w:type="dxa"/>
            <w:vAlign w:val="bottom"/>
          </w:tcPr>
          <w:p>
            <w:pPr>
              <w:spacing w:after="0"/>
              <w:rPr>
                <w:sz w:val="16"/>
                <w:szCs w:val="16"/>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362,370</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ind w:left="140"/>
              <w:spacing w:after="0"/>
              <w:rPr>
                <w:sz w:val="20"/>
                <w:szCs w:val="20"/>
                <w:color w:val="auto"/>
              </w:rPr>
            </w:pPr>
            <w:r>
              <w:rPr>
                <w:rFonts w:ascii="Arial" w:cs="Arial" w:eastAsia="Arial" w:hAnsi="Arial"/>
                <w:sz w:val="15"/>
                <w:szCs w:val="15"/>
                <w:color w:val="auto"/>
                <w:w w:val="93"/>
              </w:rPr>
              <w:t>—</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362,370</w:t>
            </w:r>
          </w:p>
        </w:tc>
        <w:tc>
          <w:tcPr>
            <w:tcW w:w="100" w:type="dxa"/>
            <w:vAlign w:val="bottom"/>
          </w:tcPr>
          <w:p>
            <w:pPr>
              <w:spacing w:after="0"/>
              <w:rPr>
                <w:sz w:val="16"/>
                <w:szCs w:val="16"/>
                <w:color w:val="auto"/>
              </w:rPr>
            </w:pPr>
          </w:p>
        </w:tc>
      </w:tr>
      <w:tr>
        <w:trPr>
          <w:trHeight w:val="186"/>
        </w:trPr>
        <w:tc>
          <w:tcPr>
            <w:tcW w:w="5740" w:type="dxa"/>
            <w:vAlign w:val="bottom"/>
            <w:shd w:val="clear" w:color="auto" w:fill="CFF0FC"/>
          </w:tcPr>
          <w:p>
            <w:pPr>
              <w:spacing w:after="0"/>
              <w:rPr>
                <w:sz w:val="20"/>
                <w:szCs w:val="20"/>
                <w:color w:val="auto"/>
              </w:rPr>
            </w:pPr>
            <w:r>
              <w:rPr>
                <w:rFonts w:ascii="Arial" w:cs="Arial" w:eastAsia="Arial" w:hAnsi="Arial"/>
                <w:sz w:val="15"/>
                <w:szCs w:val="15"/>
                <w:color w:val="auto"/>
              </w:rPr>
              <w:t>Restricted cash:</w:t>
            </w:r>
          </w:p>
        </w:tc>
        <w:tc>
          <w:tcPr>
            <w:tcW w:w="7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6"/>
        </w:trPr>
        <w:tc>
          <w:tcPr>
            <w:tcW w:w="5740" w:type="dxa"/>
            <w:vAlign w:val="bottom"/>
            <w:tcBorders>
              <w:bottom w:val="single" w:sz="8" w:color="CFF0FC"/>
            </w:tcBorders>
          </w:tcPr>
          <w:p>
            <w:pPr>
              <w:ind w:left="200"/>
              <w:spacing w:after="0"/>
              <w:rPr>
                <w:sz w:val="20"/>
                <w:szCs w:val="20"/>
                <w:color w:val="auto"/>
              </w:rPr>
            </w:pPr>
            <w:r>
              <w:rPr>
                <w:rFonts w:ascii="Arial" w:cs="Arial" w:eastAsia="Arial" w:hAnsi="Arial"/>
                <w:sz w:val="15"/>
                <w:szCs w:val="15"/>
                <w:color w:val="auto"/>
              </w:rPr>
              <w:t>Certificates of deposit</w:t>
            </w:r>
          </w:p>
        </w:tc>
        <w:tc>
          <w:tcPr>
            <w:tcW w:w="7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5,968</w:t>
            </w:r>
          </w:p>
        </w:tc>
        <w:tc>
          <w:tcPr>
            <w:tcW w:w="240" w:type="dxa"/>
            <w:vAlign w:val="bottom"/>
            <w:tcBorders>
              <w:bottom w:val="single" w:sz="8" w:color="CFF0FC"/>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w w:val="93"/>
              </w:rPr>
              <w:t>—</w:t>
            </w:r>
          </w:p>
        </w:tc>
        <w:tc>
          <w:tcPr>
            <w:tcW w:w="26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5,968</w:t>
            </w:r>
          </w:p>
        </w:tc>
        <w:tc>
          <w:tcPr>
            <w:tcW w:w="100" w:type="dxa"/>
            <w:vAlign w:val="bottom"/>
            <w:tcBorders>
              <w:bottom w:val="single" w:sz="8" w:color="CFF0FC"/>
            </w:tcBorders>
          </w:tcPr>
          <w:p>
            <w:pPr>
              <w:spacing w:after="0"/>
              <w:rPr>
                <w:sz w:val="16"/>
                <w:szCs w:val="16"/>
                <w:color w:val="auto"/>
              </w:rPr>
            </w:pPr>
          </w:p>
        </w:tc>
      </w:tr>
      <w:tr>
        <w:trPr>
          <w:trHeight w:val="177"/>
        </w:trPr>
        <w:tc>
          <w:tcPr>
            <w:tcW w:w="5740" w:type="dxa"/>
            <w:vAlign w:val="bottom"/>
            <w:shd w:val="clear" w:color="auto" w:fill="CFF0FC"/>
          </w:tcPr>
          <w:p>
            <w:pPr>
              <w:spacing w:after="0"/>
              <w:rPr>
                <w:sz w:val="20"/>
                <w:szCs w:val="20"/>
                <w:color w:val="auto"/>
              </w:rPr>
            </w:pPr>
            <w:r>
              <w:rPr>
                <w:rFonts w:ascii="Arial" w:cs="Arial" w:eastAsia="Arial" w:hAnsi="Arial"/>
                <w:sz w:val="15"/>
                <w:szCs w:val="15"/>
                <w:color w:val="auto"/>
              </w:rPr>
              <w:t>Total</w:t>
            </w:r>
          </w:p>
        </w:tc>
        <w:tc>
          <w:tcPr>
            <w:tcW w:w="780" w:type="dxa"/>
            <w:vAlign w:val="bottom"/>
            <w:shd w:val="clear" w:color="auto" w:fill="CFF0FC"/>
          </w:tcPr>
          <w:p>
            <w:pPr>
              <w:jc w:val="right"/>
              <w:ind w:right="666"/>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4,727</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128"/>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463,363</w:t>
            </w: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772"/>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ind w:left="140"/>
              <w:spacing w:after="0"/>
              <w:rPr>
                <w:sz w:val="20"/>
                <w:szCs w:val="20"/>
                <w:color w:val="auto"/>
              </w:rPr>
            </w:pPr>
            <w:r>
              <w:rPr>
                <w:rFonts w:ascii="Arial" w:cs="Arial" w:eastAsia="Arial" w:hAnsi="Arial"/>
                <w:sz w:val="15"/>
                <w:szCs w:val="15"/>
                <w:color w:val="auto"/>
                <w:w w:val="93"/>
              </w:rPr>
              <w:t>—</w:t>
            </w: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468,090</w:t>
            </w:r>
          </w:p>
        </w:tc>
        <w:tc>
          <w:tcPr>
            <w:tcW w:w="100" w:type="dxa"/>
            <w:vAlign w:val="bottom"/>
            <w:shd w:val="clear" w:color="auto" w:fill="CFF0FC"/>
          </w:tcPr>
          <w:p>
            <w:pPr>
              <w:spacing w:after="0"/>
              <w:rPr>
                <w:sz w:val="15"/>
                <w:szCs w:val="15"/>
                <w:color w:val="auto"/>
              </w:rPr>
            </w:pPr>
          </w:p>
        </w:tc>
      </w:tr>
      <w:tr>
        <w:trPr>
          <w:trHeight w:val="20"/>
        </w:trPr>
        <w:tc>
          <w:tcPr>
            <w:tcW w:w="57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708"/>
        </w:trPr>
        <w:tc>
          <w:tcPr>
            <w:tcW w:w="57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86"/>
              </w:rPr>
              <w:t>December 31, 2017</w:t>
            </w: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3"/>
        </w:trPr>
        <w:tc>
          <w:tcPr>
            <w:tcW w:w="5740" w:type="dxa"/>
            <w:vAlign w:val="bottom"/>
          </w:tcPr>
          <w:p>
            <w:pPr>
              <w:spacing w:after="0"/>
              <w:rPr>
                <w:sz w:val="10"/>
                <w:szCs w:val="10"/>
                <w:color w:val="auto"/>
              </w:rPr>
            </w:pPr>
          </w:p>
        </w:tc>
        <w:tc>
          <w:tcPr>
            <w:tcW w:w="78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2"/>
                <w:szCs w:val="12"/>
                <w:b w:val="1"/>
                <w:bCs w:val="1"/>
                <w:color w:val="auto"/>
              </w:rPr>
              <w:t>Level 1</w:t>
            </w:r>
          </w:p>
        </w:tc>
        <w:tc>
          <w:tcPr>
            <w:tcW w:w="4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2"/>
          </w:tcPr>
          <w:p>
            <w:pPr>
              <w:ind w:left="180"/>
              <w:spacing w:after="0" w:line="123" w:lineRule="exact"/>
              <w:rPr>
                <w:sz w:val="20"/>
                <w:szCs w:val="20"/>
                <w:color w:val="auto"/>
              </w:rPr>
            </w:pPr>
            <w:r>
              <w:rPr>
                <w:rFonts w:ascii="Arial" w:cs="Arial" w:eastAsia="Arial" w:hAnsi="Arial"/>
                <w:sz w:val="12"/>
                <w:szCs w:val="12"/>
                <w:b w:val="1"/>
                <w:bCs w:val="1"/>
                <w:color w:val="auto"/>
              </w:rPr>
              <w:t>Level 2</w:t>
            </w:r>
          </w:p>
        </w:tc>
        <w:tc>
          <w:tcPr>
            <w:tcW w:w="920" w:type="dxa"/>
            <w:vAlign w:val="bottom"/>
            <w:tcBorders>
              <w:bottom w:val="single" w:sz="8" w:color="auto"/>
            </w:tcBorders>
          </w:tcPr>
          <w:p>
            <w:pPr>
              <w:jc w:val="right"/>
              <w:ind w:right="72"/>
              <w:spacing w:after="0" w:line="123" w:lineRule="exact"/>
              <w:rPr>
                <w:sz w:val="20"/>
                <w:szCs w:val="20"/>
                <w:color w:val="auto"/>
              </w:rPr>
            </w:pPr>
            <w:r>
              <w:rPr>
                <w:rFonts w:ascii="Arial" w:cs="Arial" w:eastAsia="Arial" w:hAnsi="Arial"/>
                <w:sz w:val="12"/>
                <w:szCs w:val="12"/>
                <w:b w:val="1"/>
                <w:bCs w:val="1"/>
                <w:color w:val="auto"/>
              </w:rPr>
              <w:t>Level 3</w:t>
            </w:r>
          </w:p>
        </w:tc>
        <w:tc>
          <w:tcPr>
            <w:tcW w:w="3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29"/>
              <w:spacing w:after="0" w:line="123" w:lineRule="exact"/>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10"/>
                <w:szCs w:val="10"/>
                <w:color w:val="auto"/>
              </w:rPr>
            </w:pPr>
          </w:p>
        </w:tc>
      </w:tr>
      <w:tr>
        <w:trPr>
          <w:trHeight w:val="141"/>
        </w:trPr>
        <w:tc>
          <w:tcPr>
            <w:tcW w:w="5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40" w:type="dxa"/>
            <w:vAlign w:val="bottom"/>
            <w:gridSpan w:val="3"/>
          </w:tcPr>
          <w:p>
            <w:pPr>
              <w:jc w:val="center"/>
              <w:spacing w:after="0"/>
              <w:rPr>
                <w:sz w:val="20"/>
                <w:szCs w:val="20"/>
                <w:color w:val="auto"/>
              </w:rPr>
            </w:pPr>
            <w:r>
              <w:rPr>
                <w:rFonts w:ascii="Arial" w:cs="Arial" w:eastAsia="Arial" w:hAnsi="Arial"/>
                <w:sz w:val="12"/>
                <w:szCs w:val="12"/>
                <w:b w:val="1"/>
                <w:bCs w:val="1"/>
                <w:color w:val="auto"/>
                <w:w w:val="87"/>
              </w:rPr>
              <w:t>(in thousands)</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13"/>
        </w:trPr>
        <w:tc>
          <w:tcPr>
            <w:tcW w:w="5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86"/>
        </w:trPr>
        <w:tc>
          <w:tcPr>
            <w:tcW w:w="5740" w:type="dxa"/>
            <w:vAlign w:val="bottom"/>
            <w:shd w:val="clear" w:color="auto" w:fill="CFF0FC"/>
          </w:tcPr>
          <w:p>
            <w:pPr>
              <w:spacing w:after="0"/>
              <w:rPr>
                <w:sz w:val="20"/>
                <w:szCs w:val="20"/>
                <w:color w:val="auto"/>
              </w:rPr>
            </w:pPr>
            <w:r>
              <w:rPr>
                <w:rFonts w:ascii="Arial" w:cs="Arial" w:eastAsia="Arial" w:hAnsi="Arial"/>
                <w:sz w:val="15"/>
                <w:szCs w:val="15"/>
                <w:color w:val="auto"/>
              </w:rPr>
              <w:t>Cash equivalents and investments:</w:t>
            </w:r>
          </w:p>
        </w:tc>
        <w:tc>
          <w:tcPr>
            <w:tcW w:w="7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6"/>
        </w:trPr>
        <w:tc>
          <w:tcPr>
            <w:tcW w:w="5740" w:type="dxa"/>
            <w:vAlign w:val="bottom"/>
          </w:tcPr>
          <w:p>
            <w:pPr>
              <w:ind w:left="200"/>
              <w:spacing w:after="0"/>
              <w:rPr>
                <w:sz w:val="20"/>
                <w:szCs w:val="20"/>
                <w:color w:val="auto"/>
              </w:rPr>
            </w:pPr>
            <w:r>
              <w:rPr>
                <w:rFonts w:ascii="Arial" w:cs="Arial" w:eastAsia="Arial" w:hAnsi="Arial"/>
                <w:sz w:val="15"/>
                <w:szCs w:val="15"/>
                <w:color w:val="auto"/>
              </w:rPr>
              <w:t>Money market funds</w:t>
            </w:r>
          </w:p>
        </w:tc>
        <w:tc>
          <w:tcPr>
            <w:tcW w:w="780" w:type="dxa"/>
            <w:vAlign w:val="bottom"/>
          </w:tcPr>
          <w:p>
            <w:pPr>
              <w:jc w:val="right"/>
              <w:ind w:right="666"/>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color w:val="auto"/>
                <w:w w:val="82"/>
              </w:rPr>
              <w:t>12,845</w:t>
            </w:r>
          </w:p>
        </w:tc>
        <w:tc>
          <w:tcPr>
            <w:tcW w:w="260" w:type="dxa"/>
            <w:vAlign w:val="bottom"/>
          </w:tcPr>
          <w:p>
            <w:pPr>
              <w:spacing w:after="0"/>
              <w:rPr>
                <w:sz w:val="16"/>
                <w:szCs w:val="16"/>
                <w:color w:val="auto"/>
              </w:rPr>
            </w:pP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772"/>
              <w:spacing w:after="0"/>
              <w:rPr>
                <w:sz w:val="20"/>
                <w:szCs w:val="20"/>
                <w:color w:val="auto"/>
              </w:rPr>
            </w:pPr>
            <w:r>
              <w:rPr>
                <w:rFonts w:ascii="Arial" w:cs="Arial" w:eastAsia="Arial" w:hAnsi="Arial"/>
                <w:sz w:val="15"/>
                <w:szCs w:val="15"/>
                <w:color w:val="auto"/>
                <w:w w:val="71"/>
              </w:rPr>
              <w:t>$</w:t>
            </w:r>
          </w:p>
        </w:tc>
        <w:tc>
          <w:tcPr>
            <w:tcW w:w="300" w:type="dxa"/>
            <w:vAlign w:val="bottom"/>
          </w:tcPr>
          <w:p>
            <w:pPr>
              <w:ind w:left="140"/>
              <w:spacing w:after="0"/>
              <w:rPr>
                <w:sz w:val="20"/>
                <w:szCs w:val="20"/>
                <w:color w:val="auto"/>
              </w:rPr>
            </w:pPr>
            <w:r>
              <w:rPr>
                <w:rFonts w:ascii="Arial" w:cs="Arial" w:eastAsia="Arial" w:hAnsi="Arial"/>
                <w:sz w:val="15"/>
                <w:szCs w:val="15"/>
                <w:color w:val="auto"/>
                <w:w w:val="93"/>
              </w:rPr>
              <w:t>—</w:t>
            </w:r>
          </w:p>
        </w:tc>
        <w:tc>
          <w:tcPr>
            <w:tcW w:w="5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12,845</w:t>
            </w:r>
          </w:p>
        </w:tc>
        <w:tc>
          <w:tcPr>
            <w:tcW w:w="100" w:type="dxa"/>
            <w:vAlign w:val="bottom"/>
          </w:tcPr>
          <w:p>
            <w:pPr>
              <w:spacing w:after="0"/>
              <w:rPr>
                <w:sz w:val="16"/>
                <w:szCs w:val="16"/>
                <w:color w:val="auto"/>
              </w:rPr>
            </w:pPr>
          </w:p>
        </w:tc>
      </w:tr>
      <w:tr>
        <w:trPr>
          <w:trHeight w:val="186"/>
        </w:trPr>
        <w:tc>
          <w:tcPr>
            <w:tcW w:w="57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Commercial paper</w:t>
            </w:r>
          </w:p>
        </w:tc>
        <w:tc>
          <w:tcPr>
            <w:tcW w:w="78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5,867</w:t>
            </w: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00" w:type="dxa"/>
            <w:vAlign w:val="bottom"/>
            <w:shd w:val="clear" w:color="auto" w:fill="CFF0FC"/>
          </w:tcPr>
          <w:p>
            <w:pPr>
              <w:ind w:left="140"/>
              <w:spacing w:after="0"/>
              <w:rPr>
                <w:sz w:val="20"/>
                <w:szCs w:val="20"/>
                <w:color w:val="auto"/>
              </w:rPr>
            </w:pPr>
            <w:r>
              <w:rPr>
                <w:rFonts w:ascii="Arial" w:cs="Arial" w:eastAsia="Arial" w:hAnsi="Arial"/>
                <w:sz w:val="15"/>
                <w:szCs w:val="15"/>
                <w:color w:val="auto"/>
                <w:w w:val="93"/>
              </w:rPr>
              <w:t>—</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5,867</w:t>
            </w:r>
          </w:p>
        </w:tc>
        <w:tc>
          <w:tcPr>
            <w:tcW w:w="100" w:type="dxa"/>
            <w:vAlign w:val="bottom"/>
            <w:shd w:val="clear" w:color="auto" w:fill="CFF0FC"/>
          </w:tcPr>
          <w:p>
            <w:pPr>
              <w:spacing w:after="0"/>
              <w:rPr>
                <w:sz w:val="16"/>
                <w:szCs w:val="16"/>
                <w:color w:val="auto"/>
              </w:rPr>
            </w:pPr>
          </w:p>
        </w:tc>
      </w:tr>
      <w:tr>
        <w:trPr>
          <w:trHeight w:val="186"/>
        </w:trPr>
        <w:tc>
          <w:tcPr>
            <w:tcW w:w="5740" w:type="dxa"/>
            <w:vAlign w:val="bottom"/>
          </w:tcPr>
          <w:p>
            <w:pPr>
              <w:ind w:left="200"/>
              <w:spacing w:after="0"/>
              <w:rPr>
                <w:sz w:val="20"/>
                <w:szCs w:val="20"/>
                <w:color w:val="auto"/>
              </w:rPr>
            </w:pPr>
            <w:r>
              <w:rPr>
                <w:rFonts w:ascii="Arial" w:cs="Arial" w:eastAsia="Arial" w:hAnsi="Arial"/>
                <w:sz w:val="15"/>
                <w:szCs w:val="15"/>
                <w:color w:val="auto"/>
              </w:rPr>
              <w:t>Corporate bonds</w:t>
            </w:r>
          </w:p>
        </w:tc>
        <w:tc>
          <w:tcPr>
            <w:tcW w:w="780" w:type="dxa"/>
            <w:vAlign w:val="bottom"/>
          </w:tcPr>
          <w:p>
            <w:pPr>
              <w:spacing w:after="0"/>
              <w:rPr>
                <w:sz w:val="16"/>
                <w:szCs w:val="16"/>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81,668</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ind w:left="140"/>
              <w:spacing w:after="0"/>
              <w:rPr>
                <w:sz w:val="20"/>
                <w:szCs w:val="20"/>
                <w:color w:val="auto"/>
              </w:rPr>
            </w:pPr>
            <w:r>
              <w:rPr>
                <w:rFonts w:ascii="Arial" w:cs="Arial" w:eastAsia="Arial" w:hAnsi="Arial"/>
                <w:sz w:val="15"/>
                <w:szCs w:val="15"/>
                <w:color w:val="auto"/>
                <w:w w:val="93"/>
              </w:rPr>
              <w:t>—</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81,668</w:t>
            </w:r>
          </w:p>
        </w:tc>
        <w:tc>
          <w:tcPr>
            <w:tcW w:w="100" w:type="dxa"/>
            <w:vAlign w:val="bottom"/>
          </w:tcPr>
          <w:p>
            <w:pPr>
              <w:spacing w:after="0"/>
              <w:rPr>
                <w:sz w:val="16"/>
                <w:szCs w:val="16"/>
                <w:color w:val="auto"/>
              </w:rPr>
            </w:pPr>
          </w:p>
        </w:tc>
      </w:tr>
      <w:tr>
        <w:trPr>
          <w:trHeight w:val="186"/>
        </w:trPr>
        <w:tc>
          <w:tcPr>
            <w:tcW w:w="57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U.S. government agency obligations</w:t>
            </w:r>
          </w:p>
        </w:tc>
        <w:tc>
          <w:tcPr>
            <w:tcW w:w="78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3,987</w:t>
            </w: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00" w:type="dxa"/>
            <w:vAlign w:val="bottom"/>
            <w:shd w:val="clear" w:color="auto" w:fill="CFF0FC"/>
          </w:tcPr>
          <w:p>
            <w:pPr>
              <w:ind w:left="140"/>
              <w:spacing w:after="0"/>
              <w:rPr>
                <w:sz w:val="20"/>
                <w:szCs w:val="20"/>
                <w:color w:val="auto"/>
              </w:rPr>
            </w:pPr>
            <w:r>
              <w:rPr>
                <w:rFonts w:ascii="Arial" w:cs="Arial" w:eastAsia="Arial" w:hAnsi="Arial"/>
                <w:sz w:val="15"/>
                <w:szCs w:val="15"/>
                <w:color w:val="auto"/>
                <w:w w:val="93"/>
              </w:rPr>
              <w:t>—</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3,987</w:t>
            </w:r>
          </w:p>
        </w:tc>
        <w:tc>
          <w:tcPr>
            <w:tcW w:w="100" w:type="dxa"/>
            <w:vAlign w:val="bottom"/>
            <w:shd w:val="clear" w:color="auto" w:fill="CFF0FC"/>
          </w:tcPr>
          <w:p>
            <w:pPr>
              <w:spacing w:after="0"/>
              <w:rPr>
                <w:sz w:val="16"/>
                <w:szCs w:val="16"/>
                <w:color w:val="auto"/>
              </w:rPr>
            </w:pPr>
          </w:p>
        </w:tc>
      </w:tr>
      <w:tr>
        <w:trPr>
          <w:trHeight w:val="186"/>
        </w:trPr>
        <w:tc>
          <w:tcPr>
            <w:tcW w:w="5740" w:type="dxa"/>
            <w:vAlign w:val="bottom"/>
          </w:tcPr>
          <w:p>
            <w:pPr>
              <w:ind w:left="200"/>
              <w:spacing w:after="0"/>
              <w:rPr>
                <w:sz w:val="20"/>
                <w:szCs w:val="20"/>
                <w:color w:val="auto"/>
              </w:rPr>
            </w:pPr>
            <w:r>
              <w:rPr>
                <w:rFonts w:ascii="Arial" w:cs="Arial" w:eastAsia="Arial" w:hAnsi="Arial"/>
                <w:sz w:val="15"/>
                <w:szCs w:val="15"/>
                <w:color w:val="auto"/>
              </w:rPr>
              <w:t>U.S. Treasury securities</w:t>
            </w:r>
          </w:p>
        </w:tc>
        <w:tc>
          <w:tcPr>
            <w:tcW w:w="780" w:type="dxa"/>
            <w:vAlign w:val="bottom"/>
          </w:tcPr>
          <w:p>
            <w:pPr>
              <w:spacing w:after="0"/>
              <w:rPr>
                <w:sz w:val="16"/>
                <w:szCs w:val="16"/>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356,535</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ind w:left="140"/>
              <w:spacing w:after="0"/>
              <w:rPr>
                <w:sz w:val="20"/>
                <w:szCs w:val="20"/>
                <w:color w:val="auto"/>
              </w:rPr>
            </w:pPr>
            <w:r>
              <w:rPr>
                <w:rFonts w:ascii="Arial" w:cs="Arial" w:eastAsia="Arial" w:hAnsi="Arial"/>
                <w:sz w:val="15"/>
                <w:szCs w:val="15"/>
                <w:color w:val="auto"/>
                <w:w w:val="93"/>
              </w:rPr>
              <w:t>—</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356,535</w:t>
            </w:r>
          </w:p>
        </w:tc>
        <w:tc>
          <w:tcPr>
            <w:tcW w:w="100" w:type="dxa"/>
            <w:vAlign w:val="bottom"/>
          </w:tcPr>
          <w:p>
            <w:pPr>
              <w:spacing w:after="0"/>
              <w:rPr>
                <w:sz w:val="16"/>
                <w:szCs w:val="16"/>
                <w:color w:val="auto"/>
              </w:rPr>
            </w:pPr>
          </w:p>
        </w:tc>
      </w:tr>
      <w:tr>
        <w:trPr>
          <w:trHeight w:val="186"/>
        </w:trPr>
        <w:tc>
          <w:tcPr>
            <w:tcW w:w="5740" w:type="dxa"/>
            <w:vAlign w:val="bottom"/>
            <w:shd w:val="clear" w:color="auto" w:fill="CFF0FC"/>
          </w:tcPr>
          <w:p>
            <w:pPr>
              <w:spacing w:after="0"/>
              <w:rPr>
                <w:sz w:val="20"/>
                <w:szCs w:val="20"/>
                <w:color w:val="auto"/>
              </w:rPr>
            </w:pPr>
            <w:r>
              <w:rPr>
                <w:rFonts w:ascii="Arial" w:cs="Arial" w:eastAsia="Arial" w:hAnsi="Arial"/>
                <w:sz w:val="15"/>
                <w:szCs w:val="15"/>
                <w:color w:val="auto"/>
              </w:rPr>
              <w:t>Restricted cash:</w:t>
            </w:r>
          </w:p>
        </w:tc>
        <w:tc>
          <w:tcPr>
            <w:tcW w:w="7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6"/>
        </w:trPr>
        <w:tc>
          <w:tcPr>
            <w:tcW w:w="5740" w:type="dxa"/>
            <w:vAlign w:val="bottom"/>
            <w:tcBorders>
              <w:bottom w:val="single" w:sz="8" w:color="CFF0FC"/>
            </w:tcBorders>
          </w:tcPr>
          <w:p>
            <w:pPr>
              <w:ind w:left="200"/>
              <w:spacing w:after="0"/>
              <w:rPr>
                <w:sz w:val="20"/>
                <w:szCs w:val="20"/>
                <w:color w:val="auto"/>
              </w:rPr>
            </w:pPr>
            <w:r>
              <w:rPr>
                <w:rFonts w:ascii="Arial" w:cs="Arial" w:eastAsia="Arial" w:hAnsi="Arial"/>
                <w:sz w:val="15"/>
                <w:szCs w:val="15"/>
                <w:color w:val="auto"/>
              </w:rPr>
              <w:t>Certificates of deposit</w:t>
            </w:r>
          </w:p>
        </w:tc>
        <w:tc>
          <w:tcPr>
            <w:tcW w:w="7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5,105</w:t>
            </w:r>
          </w:p>
        </w:tc>
        <w:tc>
          <w:tcPr>
            <w:tcW w:w="240" w:type="dxa"/>
            <w:vAlign w:val="bottom"/>
            <w:tcBorders>
              <w:bottom w:val="single" w:sz="8" w:color="CFF0FC"/>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w w:val="93"/>
              </w:rPr>
              <w:t>—</w:t>
            </w:r>
          </w:p>
        </w:tc>
        <w:tc>
          <w:tcPr>
            <w:tcW w:w="26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5,105</w:t>
            </w:r>
          </w:p>
        </w:tc>
        <w:tc>
          <w:tcPr>
            <w:tcW w:w="100" w:type="dxa"/>
            <w:vAlign w:val="bottom"/>
            <w:tcBorders>
              <w:bottom w:val="single" w:sz="8" w:color="CFF0FC"/>
            </w:tcBorders>
          </w:tcPr>
          <w:p>
            <w:pPr>
              <w:spacing w:after="0"/>
              <w:rPr>
                <w:sz w:val="16"/>
                <w:szCs w:val="16"/>
                <w:color w:val="auto"/>
              </w:rPr>
            </w:pPr>
          </w:p>
        </w:tc>
      </w:tr>
      <w:tr>
        <w:trPr>
          <w:trHeight w:val="177"/>
        </w:trPr>
        <w:tc>
          <w:tcPr>
            <w:tcW w:w="5740" w:type="dxa"/>
            <w:vAlign w:val="bottom"/>
            <w:shd w:val="clear" w:color="auto" w:fill="CFF0FC"/>
          </w:tcPr>
          <w:p>
            <w:pPr>
              <w:spacing w:after="0"/>
              <w:rPr>
                <w:sz w:val="20"/>
                <w:szCs w:val="20"/>
                <w:color w:val="auto"/>
              </w:rPr>
            </w:pPr>
            <w:r>
              <w:rPr>
                <w:rFonts w:ascii="Arial" w:cs="Arial" w:eastAsia="Arial" w:hAnsi="Arial"/>
                <w:sz w:val="15"/>
                <w:szCs w:val="15"/>
                <w:color w:val="auto"/>
              </w:rPr>
              <w:t>Total</w:t>
            </w:r>
          </w:p>
        </w:tc>
        <w:tc>
          <w:tcPr>
            <w:tcW w:w="780" w:type="dxa"/>
            <w:vAlign w:val="bottom"/>
            <w:shd w:val="clear" w:color="auto" w:fill="CFF0FC"/>
          </w:tcPr>
          <w:p>
            <w:pPr>
              <w:jc w:val="right"/>
              <w:ind w:right="666"/>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82"/>
              </w:rPr>
              <w:t>12,845</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128"/>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453,162</w:t>
            </w: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772"/>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ind w:left="140"/>
              <w:spacing w:after="0"/>
              <w:rPr>
                <w:sz w:val="20"/>
                <w:szCs w:val="20"/>
                <w:color w:val="auto"/>
              </w:rPr>
            </w:pPr>
            <w:r>
              <w:rPr>
                <w:rFonts w:ascii="Arial" w:cs="Arial" w:eastAsia="Arial" w:hAnsi="Arial"/>
                <w:sz w:val="15"/>
                <w:szCs w:val="15"/>
                <w:color w:val="auto"/>
                <w:w w:val="93"/>
              </w:rPr>
              <w:t>—</w:t>
            </w: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466,007</w:t>
            </w:r>
          </w:p>
        </w:tc>
        <w:tc>
          <w:tcPr>
            <w:tcW w:w="100" w:type="dxa"/>
            <w:vAlign w:val="bottom"/>
            <w:shd w:val="clear" w:color="auto" w:fill="CFF0FC"/>
          </w:tcPr>
          <w:p>
            <w:pPr>
              <w:spacing w:after="0"/>
              <w:rPr>
                <w:sz w:val="15"/>
                <w:szCs w:val="15"/>
                <w:color w:val="auto"/>
              </w:rPr>
            </w:pPr>
          </w:p>
        </w:tc>
      </w:tr>
      <w:tr>
        <w:trPr>
          <w:trHeight w:val="20"/>
        </w:trPr>
        <w:tc>
          <w:tcPr>
            <w:tcW w:w="57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8" w:lineRule="exact"/>
        <w:rPr>
          <w:sz w:val="20"/>
          <w:szCs w:val="20"/>
          <w:color w:val="auto"/>
        </w:rPr>
      </w:pPr>
    </w:p>
    <w:p>
      <w:pPr>
        <w:ind w:right="80" w:firstLine="520"/>
        <w:spacing w:after="0" w:line="301" w:lineRule="auto"/>
        <w:rPr>
          <w:sz w:val="20"/>
          <w:szCs w:val="20"/>
          <w:color w:val="auto"/>
        </w:rPr>
      </w:pPr>
      <w:r>
        <w:rPr>
          <w:rFonts w:ascii="Arial" w:cs="Arial" w:eastAsia="Arial" w:hAnsi="Arial"/>
          <w:sz w:val="13"/>
          <w:szCs w:val="13"/>
          <w:color w:val="auto"/>
        </w:rPr>
        <w:t>The Company considers all highly liquid investments purchased with a remaining maturity of three months or less to be cash equivalents. The fair value of the Company’s investments in certain money market funds is their face value and such instruments are classified as Level 1 and are included in cash and cash equivalents on the consolidated balance sheets. At March 31, 2018 and December 31, 2017, our Level 2 securities were priced by pricing vendors. These pricing vendors utilize the most recent observable market information in pricing these securities or, if specific prices are not available for these securities, use other observable inputs like market transactions involving identical or comparable securities.</w:t>
      </w:r>
    </w:p>
    <w:p>
      <w:pPr>
        <w:spacing w:after="0" w:line="128" w:lineRule="exact"/>
        <w:rPr>
          <w:sz w:val="20"/>
          <w:szCs w:val="20"/>
          <w:color w:val="auto"/>
        </w:rPr>
      </w:pPr>
    </w:p>
    <w:p>
      <w:pPr>
        <w:jc w:val="center"/>
        <w:ind w:right="3700"/>
        <w:spacing w:after="0"/>
        <w:rPr>
          <w:sz w:val="20"/>
          <w:szCs w:val="20"/>
          <w:color w:val="auto"/>
        </w:rPr>
      </w:pPr>
      <w:r>
        <w:rPr>
          <w:rFonts w:ascii="Arial" w:cs="Arial" w:eastAsia="Arial" w:hAnsi="Arial"/>
          <w:sz w:val="15"/>
          <w:szCs w:val="15"/>
          <w:color w:val="auto"/>
        </w:rPr>
        <w:t>As of March 31, 2018, the fair value of the 2022 Notes was $516.4 million. The fair value was determined based</w:t>
      </w:r>
    </w:p>
    <w:p>
      <w:pPr>
        <w:spacing w:after="0" w:line="14" w:lineRule="exact"/>
        <w:rPr>
          <w:sz w:val="20"/>
          <w:szCs w:val="20"/>
          <w:color w:val="auto"/>
        </w:rPr>
      </w:pPr>
    </w:p>
    <w:p>
      <w:pPr>
        <w:ind w:right="3760"/>
        <w:spacing w:after="0" w:line="248" w:lineRule="auto"/>
        <w:rPr>
          <w:sz w:val="20"/>
          <w:szCs w:val="20"/>
          <w:color w:val="auto"/>
        </w:rPr>
      </w:pPr>
      <w:r>
        <w:rPr>
          <w:rFonts w:ascii="Arial" w:cs="Arial" w:eastAsia="Arial" w:hAnsi="Arial"/>
          <w:sz w:val="15"/>
          <w:szCs w:val="15"/>
          <w:color w:val="auto"/>
        </w:rPr>
        <w:t>on the quoted price of the 2022 Notes in an inactive market on the last trading day of the reporting period and has been classified as Level 2 within the fair value hierarchy.</w:t>
      </w:r>
    </w:p>
    <w:p>
      <w:pPr>
        <w:spacing w:after="0" w:line="159" w:lineRule="exact"/>
        <w:rPr>
          <w:sz w:val="20"/>
          <w:szCs w:val="20"/>
          <w:color w:val="auto"/>
        </w:rPr>
      </w:pPr>
    </w:p>
    <w:p>
      <w:pPr>
        <w:ind w:right="120" w:firstLine="520"/>
        <w:spacing w:after="0" w:line="263" w:lineRule="auto"/>
        <w:rPr>
          <w:sz w:val="20"/>
          <w:szCs w:val="20"/>
          <w:color w:val="auto"/>
        </w:rPr>
      </w:pPr>
      <w:r>
        <w:rPr>
          <w:rFonts w:ascii="Arial" w:cs="Arial" w:eastAsia="Arial" w:hAnsi="Arial"/>
          <w:sz w:val="15"/>
          <w:szCs w:val="15"/>
          <w:color w:val="auto"/>
        </w:rPr>
        <w:t>For certain other financial instruments, including accounts receivable, accounts payable, capital leases and other current liabilities, the carrying amounts approximate their fair value due to the relatively short maturity of these balances.</w:t>
      </w:r>
    </w:p>
    <w:p>
      <w:pPr>
        <w:spacing w:after="0" w:line="149" w:lineRule="exact"/>
        <w:rPr>
          <w:sz w:val="20"/>
          <w:szCs w:val="20"/>
          <w:color w:val="auto"/>
        </w:rPr>
      </w:pPr>
    </w:p>
    <w:p>
      <w:pPr>
        <w:ind w:right="100" w:firstLine="520"/>
        <w:spacing w:after="0" w:line="293" w:lineRule="auto"/>
        <w:rPr>
          <w:sz w:val="20"/>
          <w:szCs w:val="20"/>
          <w:color w:val="auto"/>
        </w:rPr>
      </w:pPr>
      <w:r>
        <w:rPr>
          <w:rFonts w:ascii="Arial" w:cs="Arial" w:eastAsia="Arial" w:hAnsi="Arial"/>
          <w:sz w:val="13"/>
          <w:szCs w:val="13"/>
          <w:color w:val="auto"/>
        </w:rPr>
        <w:t>Strategic investments consist of non-controlling equity investments in privately held companies. The Company elected the measurement alternative for these investments without readily determinable fair values and for which the Company does not have the ability to exercise significant influence. These investments are accounted for under the cost method of accounting. Under the cost method of accounting, the non-marketable equity securities are carried at cost less any impairment, plus or minus adjustments resulting from observable price changes in orderly transactions for the identical or a similar investment of the same issuer, which is recorded within the statement of operations. The Company holds $3.7 million of strategic investments without readily determinable fair values at March 31, 2018 and $3.5 million of strategic investments without readily determinable fair values at December 31, 2017. These investments are included in other assets on the consolidated balance sheets. There have been no adjustments to the carrying value of strategic investments resulting from impairments or observable price changes.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1390"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60"/>
          </w:cols>
          <w:pgMar w:left="220" w:top="363" w:right="219" w:bottom="1440" w:gutter="0" w:footer="0" w:header="0"/>
        </w:sectPr>
      </w:pPr>
    </w:p>
    <w:bookmarkStart w:id="14" w:name="page15"/>
    <w:bookmarkEnd w:id="14"/>
    <w:p>
      <w:pPr>
        <w:ind w:left="520"/>
        <w:spacing w:after="0"/>
        <w:rPr>
          <w:sz w:val="20"/>
          <w:szCs w:val="20"/>
          <w:color w:val="auto"/>
        </w:rPr>
      </w:pPr>
      <w:r>
        <w:rPr>
          <w:rFonts w:ascii="Arial" w:cs="Arial" w:eastAsia="Arial" w:hAnsi="Arial"/>
          <w:sz w:val="15"/>
          <w:szCs w:val="15"/>
          <w:color w:val="auto"/>
        </w:rPr>
        <w:t>The following tables summarize the composition of our short- and long-term investments at March 31, 2018 and December 31, 2017.</w:t>
      </w: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138"/>
        </w:trPr>
        <w:tc>
          <w:tcPr>
            <w:tcW w:w="37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2"/>
                <w:szCs w:val="12"/>
                <w:b w:val="1"/>
                <w:bCs w:val="1"/>
                <w:color w:val="auto"/>
                <w:w w:val="91"/>
              </w:rPr>
              <w:t>March 31, 2018</w:t>
            </w: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7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jc w:val="center"/>
              <w:ind w:right="91"/>
              <w:spacing w:after="0" w:line="105" w:lineRule="exact"/>
              <w:rPr>
                <w:sz w:val="20"/>
                <w:szCs w:val="20"/>
                <w:color w:val="auto"/>
              </w:rPr>
            </w:pPr>
            <w:r>
              <w:rPr>
                <w:rFonts w:ascii="Arial" w:cs="Arial" w:eastAsia="Arial" w:hAnsi="Arial"/>
                <w:sz w:val="12"/>
                <w:szCs w:val="12"/>
                <w:b w:val="1"/>
                <w:bCs w:val="1"/>
                <w:color w:val="auto"/>
                <w:w w:val="91"/>
              </w:rPr>
              <w:t>Amortized</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center"/>
              <w:ind w:right="113"/>
              <w:spacing w:after="0" w:line="105" w:lineRule="exact"/>
              <w:rPr>
                <w:sz w:val="20"/>
                <w:szCs w:val="20"/>
                <w:color w:val="auto"/>
              </w:rPr>
            </w:pPr>
            <w:r>
              <w:rPr>
                <w:rFonts w:ascii="Arial" w:cs="Arial" w:eastAsia="Arial" w:hAnsi="Arial"/>
                <w:sz w:val="12"/>
                <w:szCs w:val="12"/>
                <w:b w:val="1"/>
                <w:bCs w:val="1"/>
                <w:color w:val="auto"/>
                <w:w w:val="88"/>
              </w:rPr>
              <w:t>Unrealized</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gridSpan w:val="2"/>
          </w:tcPr>
          <w:p>
            <w:pPr>
              <w:jc w:val="center"/>
              <w:ind w:right="380"/>
              <w:spacing w:after="0" w:line="105" w:lineRule="exact"/>
              <w:rPr>
                <w:sz w:val="20"/>
                <w:szCs w:val="20"/>
                <w:color w:val="auto"/>
              </w:rPr>
            </w:pPr>
            <w:r>
              <w:rPr>
                <w:rFonts w:ascii="Arial" w:cs="Arial" w:eastAsia="Arial" w:hAnsi="Arial"/>
                <w:sz w:val="12"/>
                <w:szCs w:val="12"/>
                <w:b w:val="1"/>
                <w:bCs w:val="1"/>
                <w:color w:val="auto"/>
                <w:w w:val="92"/>
              </w:rPr>
              <w:t>Unrealized</w:t>
            </w:r>
          </w:p>
        </w:tc>
        <w:tc>
          <w:tcPr>
            <w:tcW w:w="200" w:type="dxa"/>
            <w:vAlign w:val="bottom"/>
          </w:tcPr>
          <w:p>
            <w:pPr>
              <w:spacing w:after="0"/>
              <w:rPr>
                <w:sz w:val="9"/>
                <w:szCs w:val="9"/>
                <w:color w:val="auto"/>
              </w:rPr>
            </w:pPr>
          </w:p>
        </w:tc>
        <w:tc>
          <w:tcPr>
            <w:tcW w:w="980" w:type="dxa"/>
            <w:vAlign w:val="bottom"/>
          </w:tcPr>
          <w:p>
            <w:pPr>
              <w:ind w:left="120"/>
              <w:spacing w:after="0" w:line="105" w:lineRule="exact"/>
              <w:rPr>
                <w:sz w:val="20"/>
                <w:szCs w:val="20"/>
                <w:color w:val="auto"/>
              </w:rPr>
            </w:pPr>
            <w:r>
              <w:rPr>
                <w:rFonts w:ascii="Arial" w:cs="Arial" w:eastAsia="Arial" w:hAnsi="Arial"/>
                <w:sz w:val="12"/>
                <w:szCs w:val="12"/>
                <w:b w:val="1"/>
                <w:bCs w:val="1"/>
                <w:color w:val="auto"/>
              </w:rPr>
              <w:t>Aggregate</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7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91"/>
              <w:spacing w:after="0"/>
              <w:rPr>
                <w:sz w:val="20"/>
                <w:szCs w:val="20"/>
                <w:color w:val="auto"/>
              </w:rPr>
            </w:pPr>
            <w:r>
              <w:rPr>
                <w:rFonts w:ascii="Arial" w:cs="Arial" w:eastAsia="Arial" w:hAnsi="Arial"/>
                <w:sz w:val="12"/>
                <w:szCs w:val="12"/>
                <w:b w:val="1"/>
                <w:bCs w:val="1"/>
                <w:color w:val="auto"/>
                <w:w w:val="82"/>
              </w:rPr>
              <w:t>Cost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113"/>
              <w:spacing w:after="0"/>
              <w:rPr>
                <w:sz w:val="20"/>
                <w:szCs w:val="20"/>
                <w:color w:val="auto"/>
              </w:rPr>
            </w:pPr>
            <w:r>
              <w:rPr>
                <w:rFonts w:ascii="Arial" w:cs="Arial" w:eastAsia="Arial" w:hAnsi="Arial"/>
                <w:sz w:val="12"/>
                <w:szCs w:val="12"/>
                <w:b w:val="1"/>
                <w:bCs w:val="1"/>
                <w:color w:val="auto"/>
                <w:w w:val="89"/>
              </w:rPr>
              <w:t>Gains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77"/>
              </w:rPr>
              <w:t>Losses</w:t>
            </w:r>
          </w:p>
        </w:tc>
        <w:tc>
          <w:tcPr>
            <w:tcW w:w="200" w:type="dxa"/>
            <w:vAlign w:val="bottom"/>
          </w:tcPr>
          <w:p>
            <w:pPr>
              <w:spacing w:after="0"/>
              <w:rPr>
                <w:sz w:val="12"/>
                <w:szCs w:val="12"/>
                <w:color w:val="auto"/>
              </w:rPr>
            </w:pPr>
          </w:p>
        </w:tc>
        <w:tc>
          <w:tcPr>
            <w:tcW w:w="1080" w:type="dxa"/>
            <w:vAlign w:val="bottom"/>
            <w:gridSpan w:val="2"/>
          </w:tcPr>
          <w:p>
            <w:pPr>
              <w:ind w:left="120"/>
              <w:spacing w:after="0"/>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123"/>
        </w:trPr>
        <w:tc>
          <w:tcPr>
            <w:tcW w:w="37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340" w:type="dxa"/>
            <w:vAlign w:val="bottom"/>
            <w:tcBorders>
              <w:top w:val="single" w:sz="8" w:color="auto"/>
            </w:tcBorders>
            <w:gridSpan w:val="5"/>
          </w:tcPr>
          <w:p>
            <w:pPr>
              <w:jc w:val="center"/>
              <w:ind w:right="240"/>
              <w:spacing w:after="0" w:line="123" w:lineRule="exact"/>
              <w:rPr>
                <w:sz w:val="20"/>
                <w:szCs w:val="20"/>
                <w:color w:val="auto"/>
              </w:rPr>
            </w:pPr>
            <w:r>
              <w:rPr>
                <w:rFonts w:ascii="Arial" w:cs="Arial" w:eastAsia="Arial" w:hAnsi="Arial"/>
                <w:sz w:val="12"/>
                <w:szCs w:val="12"/>
                <w:b w:val="1"/>
                <w:bCs w:val="1"/>
                <w:color w:val="auto"/>
                <w:w w:val="84"/>
              </w:rPr>
              <w:t>(in thousands)</w:t>
            </w:r>
          </w:p>
        </w:tc>
        <w:tc>
          <w:tcPr>
            <w:tcW w:w="2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3700" w:type="dxa"/>
            <w:vAlign w:val="bottom"/>
            <w:shd w:val="clear" w:color="auto" w:fill="CFF0FC"/>
          </w:tcPr>
          <w:p>
            <w:pPr>
              <w:spacing w:after="0"/>
              <w:rPr>
                <w:sz w:val="20"/>
                <w:szCs w:val="20"/>
                <w:color w:val="auto"/>
              </w:rPr>
            </w:pPr>
            <w:r>
              <w:rPr>
                <w:rFonts w:ascii="Arial" w:cs="Arial" w:eastAsia="Arial" w:hAnsi="Arial"/>
                <w:sz w:val="15"/>
                <w:szCs w:val="15"/>
                <w:color w:val="auto"/>
              </w:rPr>
              <w:t>Commercial paper</w:t>
            </w:r>
          </w:p>
        </w:tc>
        <w:tc>
          <w:tcPr>
            <w:tcW w:w="1740" w:type="dxa"/>
            <w:vAlign w:val="bottom"/>
            <w:gridSpan w:val="2"/>
            <w:shd w:val="clear" w:color="auto" w:fill="CFF0FC"/>
          </w:tcPr>
          <w:p>
            <w:pPr>
              <w:jc w:val="right"/>
              <w:ind w:right="7"/>
              <w:spacing w:after="0"/>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4,891</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(6)</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4,885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00" w:type="dxa"/>
            <w:vAlign w:val="bottom"/>
          </w:tcPr>
          <w:p>
            <w:pPr>
              <w:spacing w:after="0"/>
              <w:rPr>
                <w:sz w:val="20"/>
                <w:szCs w:val="20"/>
                <w:color w:val="auto"/>
              </w:rPr>
            </w:pPr>
            <w:r>
              <w:rPr>
                <w:rFonts w:ascii="Arial" w:cs="Arial" w:eastAsia="Arial" w:hAnsi="Arial"/>
                <w:sz w:val="15"/>
                <w:szCs w:val="15"/>
                <w:color w:val="auto"/>
              </w:rPr>
              <w:t>Corporate bonds</w:t>
            </w: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83,648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(489)</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83,159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00" w:type="dxa"/>
            <w:vAlign w:val="bottom"/>
            <w:shd w:val="clear" w:color="auto" w:fill="CFF0FC"/>
          </w:tcPr>
          <w:p>
            <w:pPr>
              <w:spacing w:after="0"/>
              <w:rPr>
                <w:sz w:val="20"/>
                <w:szCs w:val="20"/>
                <w:color w:val="auto"/>
              </w:rPr>
            </w:pPr>
            <w:r>
              <w:rPr>
                <w:rFonts w:ascii="Arial" w:cs="Arial" w:eastAsia="Arial" w:hAnsi="Arial"/>
                <w:sz w:val="15"/>
                <w:szCs w:val="15"/>
                <w:color w:val="auto"/>
              </w:rPr>
              <w:t>U.S. government agency obligations</w:t>
            </w:r>
          </w:p>
        </w:tc>
        <w:tc>
          <w:tcPr>
            <w:tcW w:w="15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3,000</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(9)</w:t>
            </w: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2,991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00" w:type="dxa"/>
            <w:vAlign w:val="bottom"/>
          </w:tcPr>
          <w:p>
            <w:pPr>
              <w:spacing w:after="0"/>
              <w:rPr>
                <w:sz w:val="20"/>
                <w:szCs w:val="20"/>
                <w:color w:val="auto"/>
              </w:rPr>
            </w:pPr>
            <w:r>
              <w:rPr>
                <w:rFonts w:ascii="Arial" w:cs="Arial" w:eastAsia="Arial" w:hAnsi="Arial"/>
                <w:sz w:val="15"/>
                <w:szCs w:val="15"/>
                <w:color w:val="auto"/>
              </w:rPr>
              <w:t>U.S. Treasury securities</w:t>
            </w: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312,752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(308)</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312,444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00" w:type="dxa"/>
            <w:vAlign w:val="bottom"/>
            <w:vMerge w:val="restart"/>
            <w:shd w:val="clear" w:color="auto" w:fill="CFF0FC"/>
          </w:tcPr>
          <w:p>
            <w:pPr>
              <w:ind w:left="200"/>
              <w:spacing w:after="0"/>
              <w:rPr>
                <w:sz w:val="20"/>
                <w:szCs w:val="20"/>
                <w:color w:val="auto"/>
              </w:rPr>
            </w:pPr>
            <w:r>
              <w:rPr>
                <w:rFonts w:ascii="Arial" w:cs="Arial" w:eastAsia="Arial" w:hAnsi="Arial"/>
                <w:sz w:val="15"/>
                <w:szCs w:val="15"/>
                <w:color w:val="auto"/>
              </w:rPr>
              <w:t>Total</w:t>
            </w:r>
          </w:p>
        </w:tc>
        <w:tc>
          <w:tcPr>
            <w:tcW w:w="15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00" w:type="dxa"/>
            <w:vAlign w:val="bottom"/>
            <w:vMerge w:val="continue"/>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404,291</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(812)</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403,479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3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2"/>
                <w:szCs w:val="12"/>
                <w:b w:val="1"/>
                <w:bCs w:val="1"/>
                <w:color w:val="auto"/>
                <w:w w:val="86"/>
              </w:rPr>
              <w:t>December 31, 2017</w:t>
            </w: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37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jc w:val="center"/>
              <w:ind w:right="91"/>
              <w:spacing w:after="0" w:line="105" w:lineRule="exact"/>
              <w:rPr>
                <w:sz w:val="20"/>
                <w:szCs w:val="20"/>
                <w:color w:val="auto"/>
              </w:rPr>
            </w:pPr>
            <w:r>
              <w:rPr>
                <w:rFonts w:ascii="Arial" w:cs="Arial" w:eastAsia="Arial" w:hAnsi="Arial"/>
                <w:sz w:val="12"/>
                <w:szCs w:val="12"/>
                <w:b w:val="1"/>
                <w:bCs w:val="1"/>
                <w:color w:val="auto"/>
                <w:w w:val="91"/>
              </w:rPr>
              <w:t>Amortized</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center"/>
              <w:ind w:right="113"/>
              <w:spacing w:after="0" w:line="105" w:lineRule="exact"/>
              <w:rPr>
                <w:sz w:val="20"/>
                <w:szCs w:val="20"/>
                <w:color w:val="auto"/>
              </w:rPr>
            </w:pPr>
            <w:r>
              <w:rPr>
                <w:rFonts w:ascii="Arial" w:cs="Arial" w:eastAsia="Arial" w:hAnsi="Arial"/>
                <w:sz w:val="12"/>
                <w:szCs w:val="12"/>
                <w:b w:val="1"/>
                <w:bCs w:val="1"/>
                <w:color w:val="auto"/>
                <w:w w:val="88"/>
              </w:rPr>
              <w:t>Unrealized</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gridSpan w:val="2"/>
          </w:tcPr>
          <w:p>
            <w:pPr>
              <w:jc w:val="center"/>
              <w:ind w:right="380"/>
              <w:spacing w:after="0" w:line="105" w:lineRule="exact"/>
              <w:rPr>
                <w:sz w:val="20"/>
                <w:szCs w:val="20"/>
                <w:color w:val="auto"/>
              </w:rPr>
            </w:pPr>
            <w:r>
              <w:rPr>
                <w:rFonts w:ascii="Arial" w:cs="Arial" w:eastAsia="Arial" w:hAnsi="Arial"/>
                <w:sz w:val="12"/>
                <w:szCs w:val="12"/>
                <w:b w:val="1"/>
                <w:bCs w:val="1"/>
                <w:color w:val="auto"/>
                <w:w w:val="92"/>
              </w:rPr>
              <w:t>Unrealized</w:t>
            </w:r>
          </w:p>
        </w:tc>
        <w:tc>
          <w:tcPr>
            <w:tcW w:w="200" w:type="dxa"/>
            <w:vAlign w:val="bottom"/>
          </w:tcPr>
          <w:p>
            <w:pPr>
              <w:spacing w:after="0"/>
              <w:rPr>
                <w:sz w:val="9"/>
                <w:szCs w:val="9"/>
                <w:color w:val="auto"/>
              </w:rPr>
            </w:pPr>
          </w:p>
        </w:tc>
        <w:tc>
          <w:tcPr>
            <w:tcW w:w="980" w:type="dxa"/>
            <w:vAlign w:val="bottom"/>
          </w:tcPr>
          <w:p>
            <w:pPr>
              <w:ind w:left="120"/>
              <w:spacing w:after="0" w:line="105" w:lineRule="exact"/>
              <w:rPr>
                <w:sz w:val="20"/>
                <w:szCs w:val="20"/>
                <w:color w:val="auto"/>
              </w:rPr>
            </w:pPr>
            <w:r>
              <w:rPr>
                <w:rFonts w:ascii="Arial" w:cs="Arial" w:eastAsia="Arial" w:hAnsi="Arial"/>
                <w:sz w:val="12"/>
                <w:szCs w:val="12"/>
                <w:b w:val="1"/>
                <w:bCs w:val="1"/>
                <w:color w:val="auto"/>
              </w:rPr>
              <w:t>Aggregate</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7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91"/>
              <w:spacing w:after="0"/>
              <w:rPr>
                <w:sz w:val="20"/>
                <w:szCs w:val="20"/>
                <w:color w:val="auto"/>
              </w:rPr>
            </w:pPr>
            <w:r>
              <w:rPr>
                <w:rFonts w:ascii="Arial" w:cs="Arial" w:eastAsia="Arial" w:hAnsi="Arial"/>
                <w:sz w:val="12"/>
                <w:szCs w:val="12"/>
                <w:b w:val="1"/>
                <w:bCs w:val="1"/>
                <w:color w:val="auto"/>
                <w:w w:val="82"/>
              </w:rPr>
              <w:t>Cost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113"/>
              <w:spacing w:after="0"/>
              <w:rPr>
                <w:sz w:val="20"/>
                <w:szCs w:val="20"/>
                <w:color w:val="auto"/>
              </w:rPr>
            </w:pPr>
            <w:r>
              <w:rPr>
                <w:rFonts w:ascii="Arial" w:cs="Arial" w:eastAsia="Arial" w:hAnsi="Arial"/>
                <w:sz w:val="12"/>
                <w:szCs w:val="12"/>
                <w:b w:val="1"/>
                <w:bCs w:val="1"/>
                <w:color w:val="auto"/>
                <w:w w:val="89"/>
              </w:rPr>
              <w:t>Gains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77"/>
              </w:rPr>
              <w:t>Losses</w:t>
            </w:r>
          </w:p>
        </w:tc>
        <w:tc>
          <w:tcPr>
            <w:tcW w:w="200" w:type="dxa"/>
            <w:vAlign w:val="bottom"/>
          </w:tcPr>
          <w:p>
            <w:pPr>
              <w:spacing w:after="0"/>
              <w:rPr>
                <w:sz w:val="12"/>
                <w:szCs w:val="12"/>
                <w:color w:val="auto"/>
              </w:rPr>
            </w:pPr>
          </w:p>
        </w:tc>
        <w:tc>
          <w:tcPr>
            <w:tcW w:w="1080" w:type="dxa"/>
            <w:vAlign w:val="bottom"/>
            <w:gridSpan w:val="2"/>
          </w:tcPr>
          <w:p>
            <w:pPr>
              <w:ind w:left="120"/>
              <w:spacing w:after="0"/>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123"/>
        </w:trPr>
        <w:tc>
          <w:tcPr>
            <w:tcW w:w="37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340" w:type="dxa"/>
            <w:vAlign w:val="bottom"/>
            <w:tcBorders>
              <w:top w:val="single" w:sz="8" w:color="auto"/>
            </w:tcBorders>
            <w:gridSpan w:val="5"/>
          </w:tcPr>
          <w:p>
            <w:pPr>
              <w:jc w:val="center"/>
              <w:ind w:right="240"/>
              <w:spacing w:after="0" w:line="123" w:lineRule="exact"/>
              <w:rPr>
                <w:sz w:val="20"/>
                <w:szCs w:val="20"/>
                <w:color w:val="auto"/>
              </w:rPr>
            </w:pPr>
            <w:r>
              <w:rPr>
                <w:rFonts w:ascii="Arial" w:cs="Arial" w:eastAsia="Arial" w:hAnsi="Arial"/>
                <w:sz w:val="12"/>
                <w:szCs w:val="12"/>
                <w:b w:val="1"/>
                <w:bCs w:val="1"/>
                <w:color w:val="auto"/>
                <w:w w:val="84"/>
              </w:rPr>
              <w:t>(in thousands)</w:t>
            </w:r>
          </w:p>
        </w:tc>
        <w:tc>
          <w:tcPr>
            <w:tcW w:w="2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3700" w:type="dxa"/>
            <w:vAlign w:val="bottom"/>
          </w:tcPr>
          <w:p>
            <w:pPr>
              <w:spacing w:after="0"/>
              <w:rPr>
                <w:sz w:val="20"/>
                <w:szCs w:val="20"/>
                <w:color w:val="auto"/>
              </w:rPr>
            </w:pPr>
            <w:r>
              <w:rPr>
                <w:rFonts w:ascii="Arial" w:cs="Arial" w:eastAsia="Arial" w:hAnsi="Arial"/>
                <w:sz w:val="15"/>
                <w:szCs w:val="15"/>
                <w:color w:val="auto"/>
              </w:rPr>
              <w:t>Commercial paper</w:t>
            </w:r>
          </w:p>
        </w:tc>
        <w:tc>
          <w:tcPr>
            <w:tcW w:w="1740" w:type="dxa"/>
            <w:vAlign w:val="bottom"/>
            <w:gridSpan w:val="2"/>
          </w:tcPr>
          <w:p>
            <w:pPr>
              <w:jc w:val="right"/>
              <w:ind w:right="7"/>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5,874</w:t>
            </w:r>
          </w:p>
        </w:tc>
        <w:tc>
          <w:tcPr>
            <w:tcW w:w="3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(7)</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5,867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00" w:type="dxa"/>
            <w:vAlign w:val="bottom"/>
            <w:shd w:val="clear" w:color="auto" w:fill="CFF0FC"/>
          </w:tcPr>
          <w:p>
            <w:pPr>
              <w:spacing w:after="0"/>
              <w:rPr>
                <w:sz w:val="20"/>
                <w:szCs w:val="20"/>
                <w:color w:val="auto"/>
              </w:rPr>
            </w:pPr>
            <w:r>
              <w:rPr>
                <w:rFonts w:ascii="Arial" w:cs="Arial" w:eastAsia="Arial" w:hAnsi="Arial"/>
                <w:sz w:val="15"/>
                <w:szCs w:val="15"/>
                <w:color w:val="auto"/>
              </w:rPr>
              <w:t>Corporate bonds</w:t>
            </w:r>
          </w:p>
        </w:tc>
        <w:tc>
          <w:tcPr>
            <w:tcW w:w="15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81,947</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(279)</w:t>
            </w: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81,668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00" w:type="dxa"/>
            <w:vAlign w:val="bottom"/>
          </w:tcPr>
          <w:p>
            <w:pPr>
              <w:spacing w:after="0"/>
              <w:rPr>
                <w:sz w:val="20"/>
                <w:szCs w:val="20"/>
                <w:color w:val="auto"/>
              </w:rPr>
            </w:pPr>
            <w:r>
              <w:rPr>
                <w:rFonts w:ascii="Arial" w:cs="Arial" w:eastAsia="Arial" w:hAnsi="Arial"/>
                <w:sz w:val="15"/>
                <w:szCs w:val="15"/>
                <w:color w:val="auto"/>
              </w:rPr>
              <w:t>U.S. government agency obligations</w:t>
            </w: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4,000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(13)</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3,987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00" w:type="dxa"/>
            <w:vAlign w:val="bottom"/>
            <w:shd w:val="clear" w:color="auto" w:fill="CFF0FC"/>
          </w:tcPr>
          <w:p>
            <w:pPr>
              <w:spacing w:after="0"/>
              <w:rPr>
                <w:sz w:val="20"/>
                <w:szCs w:val="20"/>
                <w:color w:val="auto"/>
              </w:rPr>
            </w:pPr>
            <w:r>
              <w:rPr>
                <w:rFonts w:ascii="Arial" w:cs="Arial" w:eastAsia="Arial" w:hAnsi="Arial"/>
                <w:sz w:val="15"/>
                <w:szCs w:val="15"/>
                <w:color w:val="auto"/>
              </w:rPr>
              <w:t>U.S. Treasury securities</w:t>
            </w:r>
          </w:p>
        </w:tc>
        <w:tc>
          <w:tcPr>
            <w:tcW w:w="15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356,671</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(144)</w:t>
            </w: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356,535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00" w:type="dxa"/>
            <w:vAlign w:val="bottom"/>
            <w:vMerge w:val="restart"/>
          </w:tcPr>
          <w:p>
            <w:pPr>
              <w:ind w:left="200"/>
              <w:spacing w:after="0"/>
              <w:rPr>
                <w:sz w:val="20"/>
                <w:szCs w:val="20"/>
                <w:color w:val="auto"/>
              </w:rPr>
            </w:pPr>
            <w:r>
              <w:rPr>
                <w:rFonts w:ascii="Arial" w:cs="Arial" w:eastAsia="Arial" w:hAnsi="Arial"/>
                <w:sz w:val="15"/>
                <w:szCs w:val="15"/>
                <w:color w:val="auto"/>
              </w:rPr>
              <w:t>Total</w:t>
            </w:r>
          </w:p>
        </w:tc>
        <w:tc>
          <w:tcPr>
            <w:tcW w:w="1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00" w:type="dxa"/>
            <w:vAlign w:val="bottom"/>
            <w:vMerge w:val="continue"/>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448,492</w:t>
            </w:r>
          </w:p>
        </w:tc>
        <w:tc>
          <w:tcPr>
            <w:tcW w:w="3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8</w:t>
            </w:r>
          </w:p>
        </w:tc>
        <w:tc>
          <w:tcPr>
            <w:tcW w:w="3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(443)</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448,057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520"/>
        <w:spacing w:after="0" w:line="250" w:lineRule="auto"/>
        <w:rPr>
          <w:sz w:val="20"/>
          <w:szCs w:val="20"/>
          <w:color w:val="auto"/>
        </w:rPr>
      </w:pPr>
      <w:r>
        <w:rPr>
          <w:rFonts w:ascii="Arial" w:cs="Arial" w:eastAsia="Arial" w:hAnsi="Arial"/>
          <w:sz w:val="15"/>
          <w:szCs w:val="15"/>
          <w:color w:val="auto"/>
        </w:rPr>
        <w:t>For all of our securities for which the amortized cost basis was greater than the fair value at March 31, 2018, the Company has concluded that there is no plan to sell the security nor is it more likely than not that the Company would be required to sell the security before its anticipated recovery. In making the determination as to whether the unrealized loss is other-than-temporary, the Company considered the length of time and extent the investment has been in an unrealized loss position, the financial condition and near-term prospects of the issuers, the issuers’ credit rating and the time to maturity.</w:t>
      </w: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Contractual Maturities</w:t>
      </w:r>
    </w:p>
    <w:p>
      <w:pPr>
        <w:spacing w:after="0" w:line="91"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contractual maturities of short-term and long-term investments held at March 31, 2018 and December 31, 2017 are as follows:</w:t>
      </w:r>
    </w:p>
    <w:p>
      <w:pPr>
        <w:sectPr>
          <w:pgSz w:w="11900" w:h="16838" w:orient="portrait"/>
          <w:cols w:equalWidth="0" w:num="1">
            <w:col w:w="11480"/>
          </w:cols>
          <w:pgMar w:left="220" w:top="480" w:right="199" w:bottom="1440" w:gutter="0" w:footer="0" w:header="0"/>
        </w:sectPr>
      </w:pPr>
    </w:p>
    <w:p>
      <w:pPr>
        <w:spacing w:after="0" w:line="238" w:lineRule="exact"/>
        <w:rPr>
          <w:sz w:val="20"/>
          <w:szCs w:val="20"/>
          <w:color w:val="auto"/>
        </w:rPr>
      </w:pPr>
    </w:p>
    <w:p>
      <w:pPr>
        <w:ind w:left="6680"/>
        <w:spacing w:after="0"/>
        <w:rPr>
          <w:sz w:val="20"/>
          <w:szCs w:val="20"/>
          <w:color w:val="auto"/>
        </w:rPr>
      </w:pPr>
      <w:r>
        <w:rPr>
          <w:rFonts w:ascii="Arial" w:cs="Arial" w:eastAsia="Arial" w:hAnsi="Arial"/>
          <w:sz w:val="12"/>
          <w:szCs w:val="12"/>
          <w:b w:val="1"/>
          <w:bCs w:val="1"/>
          <w:color w:val="auto"/>
        </w:rPr>
        <w:t>March 31, 2018</w:t>
      </w:r>
    </w:p>
    <w:tbl>
      <w:tblPr>
        <w:tblLayout w:type="fixed"/>
        <w:tblInd w:w="5840" w:type="dxa"/>
        <w:tblCellMar>
          <w:top w:w="0" w:type="dxa"/>
          <w:left w:w="0" w:type="dxa"/>
          <w:bottom w:w="0" w:type="dxa"/>
          <w:right w:w="0" w:type="dxa"/>
        </w:tblCellMar>
      </w:tblPr>
      <w:tr>
        <w:trPr>
          <w:trHeight w:val="105"/>
        </w:trPr>
        <w:tc>
          <w:tcPr>
            <w:tcW w:w="86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2"/>
                <w:szCs w:val="12"/>
                <w:b w:val="1"/>
                <w:bCs w:val="1"/>
                <w:color w:val="auto"/>
              </w:rPr>
              <w:t>Amortized</w:t>
            </w:r>
          </w:p>
        </w:tc>
        <w:tc>
          <w:tcPr>
            <w:tcW w:w="1620" w:type="dxa"/>
            <w:vAlign w:val="bottom"/>
            <w:tcBorders>
              <w:top w:val="single" w:sz="8" w:color="auto"/>
            </w:tcBorders>
          </w:tcPr>
          <w:p>
            <w:pPr>
              <w:ind w:left="840"/>
              <w:spacing w:after="0" w:line="105" w:lineRule="exact"/>
              <w:rPr>
                <w:sz w:val="20"/>
                <w:szCs w:val="20"/>
                <w:color w:val="auto"/>
              </w:rPr>
            </w:pPr>
            <w:r>
              <w:rPr>
                <w:rFonts w:ascii="Arial" w:cs="Arial" w:eastAsia="Arial" w:hAnsi="Arial"/>
                <w:sz w:val="12"/>
                <w:szCs w:val="12"/>
                <w:b w:val="1"/>
                <w:bCs w:val="1"/>
                <w:color w:val="auto"/>
              </w:rPr>
              <w:t>Aggregate</w:t>
            </w:r>
          </w:p>
        </w:tc>
      </w:tr>
      <w:tr>
        <w:trPr>
          <w:trHeight w:val="138"/>
        </w:trPr>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Cost Basis</w:t>
            </w:r>
          </w:p>
        </w:tc>
        <w:tc>
          <w:tcPr>
            <w:tcW w:w="1620" w:type="dxa"/>
            <w:vAlign w:val="bottom"/>
            <w:tcBorders>
              <w:bottom w:val="single" w:sz="8" w:color="auto"/>
            </w:tcBorders>
          </w:tcPr>
          <w:p>
            <w:pPr>
              <w:ind w:left="820"/>
              <w:spacing w:after="0"/>
              <w:rPr>
                <w:sz w:val="20"/>
                <w:szCs w:val="20"/>
                <w:color w:val="auto"/>
              </w:rPr>
            </w:pPr>
            <w:r>
              <w:rPr>
                <w:rFonts w:ascii="Arial" w:cs="Arial" w:eastAsia="Arial" w:hAnsi="Arial"/>
                <w:sz w:val="12"/>
                <w:szCs w:val="12"/>
                <w:b w:val="1"/>
                <w:bCs w:val="1"/>
                <w:color w:val="auto"/>
              </w:rPr>
              <w:t>Fair Value</w:t>
            </w:r>
          </w:p>
        </w:tc>
      </w:tr>
      <w:tr>
        <w:trPr>
          <w:trHeight w:val="123"/>
        </w:trPr>
        <w:tc>
          <w:tcPr>
            <w:tcW w:w="860" w:type="dxa"/>
            <w:vAlign w:val="bottom"/>
          </w:tcPr>
          <w:p>
            <w:pPr>
              <w:spacing w:after="0"/>
              <w:rPr>
                <w:sz w:val="10"/>
                <w:szCs w:val="10"/>
                <w:color w:val="auto"/>
              </w:rPr>
            </w:pPr>
          </w:p>
        </w:tc>
        <w:tc>
          <w:tcPr>
            <w:tcW w:w="1620" w:type="dxa"/>
            <w:vAlign w:val="bottom"/>
          </w:tcPr>
          <w:p>
            <w:pPr>
              <w:spacing w:after="0" w:line="123" w:lineRule="exact"/>
              <w:rPr>
                <w:sz w:val="20"/>
                <w:szCs w:val="20"/>
                <w:color w:val="auto"/>
              </w:rPr>
            </w:pPr>
            <w:r>
              <w:rPr>
                <w:rFonts w:ascii="Arial" w:cs="Arial" w:eastAsia="Arial" w:hAnsi="Arial"/>
                <w:sz w:val="12"/>
                <w:szCs w:val="12"/>
                <w:b w:val="1"/>
                <w:bCs w:val="1"/>
                <w:color w:val="auto"/>
              </w:rPr>
              <w:t>(in thousands)</w:t>
            </w:r>
          </w:p>
        </w:tc>
      </w:tr>
    </w:tbl>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left="760"/>
        <w:spacing w:after="0"/>
        <w:rPr>
          <w:sz w:val="20"/>
          <w:szCs w:val="20"/>
          <w:color w:val="auto"/>
        </w:rPr>
      </w:pPr>
      <w:r>
        <w:rPr>
          <w:rFonts w:ascii="Arial" w:cs="Arial" w:eastAsia="Arial" w:hAnsi="Arial"/>
          <w:sz w:val="12"/>
          <w:szCs w:val="12"/>
          <w:b w:val="1"/>
          <w:bCs w:val="1"/>
          <w:color w:val="auto"/>
        </w:rPr>
        <w:t>December 31, 2017</w:t>
      </w:r>
    </w:p>
    <w:tbl>
      <w:tblPr>
        <w:tblLayout w:type="fixed"/>
        <w:tblInd w:w="0" w:type="dxa"/>
        <w:tblCellMar>
          <w:top w:w="0" w:type="dxa"/>
          <w:left w:w="0" w:type="dxa"/>
          <w:bottom w:w="0" w:type="dxa"/>
          <w:right w:w="0" w:type="dxa"/>
        </w:tblCellMar>
      </w:tblPr>
      <w:tr>
        <w:trPr>
          <w:trHeight w:val="105"/>
        </w:trPr>
        <w:tc>
          <w:tcPr>
            <w:tcW w:w="880" w:type="dxa"/>
            <w:vAlign w:val="bottom"/>
            <w:tcBorders>
              <w:top w:val="single" w:sz="8" w:color="auto"/>
            </w:tcBorders>
          </w:tcPr>
          <w:p>
            <w:pPr>
              <w:ind w:left="340"/>
              <w:spacing w:after="0" w:line="105" w:lineRule="exact"/>
              <w:rPr>
                <w:sz w:val="20"/>
                <w:szCs w:val="20"/>
                <w:color w:val="auto"/>
              </w:rPr>
            </w:pPr>
            <w:r>
              <w:rPr>
                <w:rFonts w:ascii="Arial" w:cs="Arial" w:eastAsia="Arial" w:hAnsi="Arial"/>
                <w:sz w:val="12"/>
                <w:szCs w:val="12"/>
                <w:b w:val="1"/>
                <w:bCs w:val="1"/>
                <w:color w:val="auto"/>
                <w:w w:val="88"/>
              </w:rPr>
              <w:t>Amortized</w:t>
            </w:r>
          </w:p>
        </w:tc>
        <w:tc>
          <w:tcPr>
            <w:tcW w:w="1500" w:type="dxa"/>
            <w:vAlign w:val="bottom"/>
            <w:tcBorders>
              <w:top w:val="single" w:sz="8" w:color="auto"/>
            </w:tcBorders>
          </w:tcPr>
          <w:p>
            <w:pPr>
              <w:ind w:left="720"/>
              <w:spacing w:after="0" w:line="105" w:lineRule="exact"/>
              <w:rPr>
                <w:sz w:val="20"/>
                <w:szCs w:val="20"/>
                <w:color w:val="auto"/>
              </w:rPr>
            </w:pPr>
            <w:r>
              <w:rPr>
                <w:rFonts w:ascii="Arial" w:cs="Arial" w:eastAsia="Arial" w:hAnsi="Arial"/>
                <w:sz w:val="12"/>
                <w:szCs w:val="12"/>
                <w:b w:val="1"/>
                <w:bCs w:val="1"/>
                <w:color w:val="auto"/>
              </w:rPr>
              <w:t>Aggregate</w:t>
            </w:r>
          </w:p>
        </w:tc>
      </w:tr>
      <w:tr>
        <w:trPr>
          <w:trHeight w:val="138"/>
        </w:trPr>
        <w:tc>
          <w:tcPr>
            <w:tcW w:w="880" w:type="dxa"/>
            <w:vAlign w:val="bottom"/>
            <w:tcBorders>
              <w:bottom w:val="single" w:sz="8" w:color="auto"/>
            </w:tcBorders>
          </w:tcPr>
          <w:p>
            <w:pPr>
              <w:ind w:left="360"/>
              <w:spacing w:after="0"/>
              <w:rPr>
                <w:sz w:val="20"/>
                <w:szCs w:val="20"/>
                <w:color w:val="auto"/>
              </w:rPr>
            </w:pPr>
            <w:r>
              <w:rPr>
                <w:rFonts w:ascii="Arial" w:cs="Arial" w:eastAsia="Arial" w:hAnsi="Arial"/>
                <w:sz w:val="12"/>
                <w:szCs w:val="12"/>
                <w:b w:val="1"/>
                <w:bCs w:val="1"/>
                <w:color w:val="auto"/>
                <w:w w:val="80"/>
              </w:rPr>
              <w:t>Cost Basis</w:t>
            </w:r>
          </w:p>
        </w:tc>
        <w:tc>
          <w:tcPr>
            <w:tcW w:w="1500" w:type="dxa"/>
            <w:vAlign w:val="bottom"/>
            <w:tcBorders>
              <w:bottom w:val="single" w:sz="8" w:color="auto"/>
            </w:tcBorders>
          </w:tcPr>
          <w:p>
            <w:pPr>
              <w:ind w:left="700"/>
              <w:spacing w:after="0"/>
              <w:rPr>
                <w:sz w:val="20"/>
                <w:szCs w:val="20"/>
                <w:color w:val="auto"/>
              </w:rPr>
            </w:pPr>
            <w:r>
              <w:rPr>
                <w:rFonts w:ascii="Arial" w:cs="Arial" w:eastAsia="Arial" w:hAnsi="Arial"/>
                <w:sz w:val="12"/>
                <w:szCs w:val="12"/>
                <w:b w:val="1"/>
                <w:bCs w:val="1"/>
                <w:color w:val="auto"/>
              </w:rPr>
              <w:t>Fair Value</w:t>
            </w:r>
          </w:p>
        </w:tc>
      </w:tr>
      <w:tr>
        <w:trPr>
          <w:trHeight w:val="123"/>
        </w:trPr>
        <w:tc>
          <w:tcPr>
            <w:tcW w:w="880" w:type="dxa"/>
            <w:vAlign w:val="bottom"/>
          </w:tcPr>
          <w:p>
            <w:pPr>
              <w:spacing w:after="0"/>
              <w:rPr>
                <w:sz w:val="10"/>
                <w:szCs w:val="10"/>
                <w:color w:val="auto"/>
              </w:rPr>
            </w:pPr>
          </w:p>
        </w:tc>
        <w:tc>
          <w:tcPr>
            <w:tcW w:w="1500" w:type="dxa"/>
            <w:vAlign w:val="bottom"/>
          </w:tcPr>
          <w:p>
            <w:pPr>
              <w:spacing w:after="0" w:line="123" w:lineRule="exact"/>
              <w:rPr>
                <w:sz w:val="20"/>
                <w:szCs w:val="20"/>
                <w:color w:val="auto"/>
              </w:rPr>
            </w:pPr>
            <w:r>
              <w:rPr>
                <w:rFonts w:ascii="Arial" w:cs="Arial" w:eastAsia="Arial" w:hAnsi="Arial"/>
                <w:sz w:val="12"/>
                <w:szCs w:val="12"/>
                <w:b w:val="1"/>
                <w:bCs w:val="1"/>
                <w:color w:val="auto"/>
              </w:rPr>
              <w:t>(in thousands)</w:t>
            </w:r>
          </w:p>
        </w:tc>
      </w:tr>
    </w:tbl>
    <w:p>
      <w:pPr>
        <w:spacing w:after="0" w:line="14" w:lineRule="exact"/>
        <w:rPr>
          <w:sz w:val="20"/>
          <w:szCs w:val="20"/>
          <w:color w:val="auto"/>
        </w:rPr>
      </w:pPr>
    </w:p>
    <w:p>
      <w:pPr>
        <w:sectPr>
          <w:pgSz w:w="11900" w:h="16838" w:orient="portrait"/>
          <w:cols w:equalWidth="0" w:num="2">
            <w:col w:w="8320" w:space="100"/>
            <w:col w:w="3060"/>
          </w:cols>
          <w:pgMar w:left="220" w:top="480" w:right="199" w:bottom="1440" w:gutter="0" w:footer="0" w:header="0"/>
          <w:type w:val="continuous"/>
        </w:sectPr>
      </w:pPr>
    </w:p>
    <w:tbl>
      <w:tblPr>
        <w:tblLayout w:type="fixed"/>
        <w:tblInd w:w="580" w:type="dxa"/>
        <w:tblCellMar>
          <w:top w:w="0" w:type="dxa"/>
          <w:left w:w="0" w:type="dxa"/>
          <w:bottom w:w="0" w:type="dxa"/>
          <w:right w:w="0" w:type="dxa"/>
        </w:tblCellMar>
      </w:tblPr>
      <w:tr>
        <w:trPr>
          <w:trHeight w:val="172"/>
        </w:trPr>
        <w:tc>
          <w:tcPr>
            <w:tcW w:w="3580" w:type="dxa"/>
            <w:vAlign w:val="bottom"/>
            <w:shd w:val="clear" w:color="auto" w:fill="CFF0FC"/>
          </w:tcPr>
          <w:p>
            <w:pPr>
              <w:spacing w:after="0"/>
              <w:rPr>
                <w:sz w:val="20"/>
                <w:szCs w:val="20"/>
                <w:color w:val="auto"/>
              </w:rPr>
            </w:pPr>
            <w:r>
              <w:rPr>
                <w:rFonts w:ascii="Arial" w:cs="Arial" w:eastAsia="Arial" w:hAnsi="Arial"/>
                <w:sz w:val="15"/>
                <w:szCs w:val="15"/>
                <w:color w:val="auto"/>
              </w:rPr>
              <w:t>Due within one year</w:t>
            </w:r>
          </w:p>
        </w:tc>
        <w:tc>
          <w:tcPr>
            <w:tcW w:w="2080" w:type="dxa"/>
            <w:vAlign w:val="bottom"/>
            <w:gridSpan w:val="2"/>
            <w:shd w:val="clear" w:color="auto" w:fill="CFF0FC"/>
          </w:tcPr>
          <w:p>
            <w:pPr>
              <w:jc w:val="right"/>
              <w:ind w:right="340"/>
              <w:spacing w:after="0"/>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375,946</w:t>
            </w: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375,379</w:t>
            </w: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416,932</w:t>
            </w: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416,663</w:t>
            </w:r>
          </w:p>
        </w:tc>
        <w:tc>
          <w:tcPr>
            <w:tcW w:w="80" w:type="dxa"/>
            <w:vAlign w:val="bottom"/>
            <w:shd w:val="clear" w:color="auto" w:fill="CFF0FC"/>
          </w:tcPr>
          <w:p>
            <w:pPr>
              <w:spacing w:after="0"/>
              <w:rPr>
                <w:sz w:val="15"/>
                <w:szCs w:val="15"/>
                <w:color w:val="auto"/>
              </w:rPr>
            </w:pPr>
          </w:p>
        </w:tc>
      </w:tr>
      <w:tr>
        <w:trPr>
          <w:trHeight w:val="186"/>
        </w:trPr>
        <w:tc>
          <w:tcPr>
            <w:tcW w:w="358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Due after 1 year through 2 years</w:t>
            </w:r>
          </w:p>
        </w:tc>
        <w:tc>
          <w:tcPr>
            <w:tcW w:w="1680" w:type="dxa"/>
            <w:vAlign w:val="bottom"/>
            <w:tcBorders>
              <w:bottom w:val="single" w:sz="8" w:color="CFF0F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28,345</w:t>
            </w:r>
          </w:p>
        </w:tc>
        <w:tc>
          <w:tcPr>
            <w:tcW w:w="22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28,100</w:t>
            </w:r>
          </w:p>
        </w:tc>
        <w:tc>
          <w:tcPr>
            <w:tcW w:w="100" w:type="dxa"/>
            <w:vAlign w:val="bottom"/>
            <w:tcBorders>
              <w:bottom w:val="single" w:sz="8" w:color="CFF0F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31,560</w:t>
            </w:r>
          </w:p>
        </w:tc>
        <w:tc>
          <w:tcPr>
            <w:tcW w:w="22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31,394</w:t>
            </w:r>
          </w:p>
        </w:tc>
        <w:tc>
          <w:tcPr>
            <w:tcW w:w="80" w:type="dxa"/>
            <w:vAlign w:val="bottom"/>
            <w:tcBorders>
              <w:bottom w:val="single" w:sz="8" w:color="CFF0FC"/>
            </w:tcBorders>
          </w:tcPr>
          <w:p>
            <w:pPr>
              <w:spacing w:after="0"/>
              <w:rPr>
                <w:sz w:val="16"/>
                <w:szCs w:val="16"/>
                <w:color w:val="auto"/>
              </w:rPr>
            </w:pPr>
          </w:p>
        </w:tc>
      </w:tr>
      <w:tr>
        <w:trPr>
          <w:trHeight w:val="177"/>
        </w:trPr>
        <w:tc>
          <w:tcPr>
            <w:tcW w:w="35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Total</w:t>
            </w:r>
          </w:p>
        </w:tc>
        <w:tc>
          <w:tcPr>
            <w:tcW w:w="2080" w:type="dxa"/>
            <w:vAlign w:val="bottom"/>
            <w:gridSpan w:val="2"/>
            <w:shd w:val="clear" w:color="auto" w:fill="CFF0FC"/>
          </w:tcPr>
          <w:p>
            <w:pPr>
              <w:jc w:val="right"/>
              <w:ind w:right="340"/>
              <w:spacing w:after="0"/>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404,291</w:t>
            </w: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403,479</w:t>
            </w: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448,492</w:t>
            </w: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448,057</w:t>
            </w:r>
          </w:p>
        </w:tc>
        <w:tc>
          <w:tcPr>
            <w:tcW w:w="80" w:type="dxa"/>
            <w:vAlign w:val="bottom"/>
            <w:shd w:val="clear" w:color="auto" w:fill="CFF0FC"/>
          </w:tcPr>
          <w:p>
            <w:pPr>
              <w:spacing w:after="0"/>
              <w:rPr>
                <w:sz w:val="15"/>
                <w:szCs w:val="15"/>
                <w:color w:val="auto"/>
              </w:rPr>
            </w:pPr>
          </w:p>
        </w:tc>
      </w:tr>
      <w:tr>
        <w:trPr>
          <w:trHeight w:val="20"/>
        </w:trPr>
        <w:tc>
          <w:tcPr>
            <w:tcW w:w="3580" w:type="dxa"/>
            <w:vAlign w:val="bottom"/>
            <w:tcBorders>
              <w:top w:val="single" w:sz="8" w:color="CFF0FC"/>
            </w:tcBorders>
          </w:tcPr>
          <w:p>
            <w:pPr>
              <w:spacing w:after="0" w:line="20" w:lineRule="exact"/>
              <w:rPr>
                <w:sz w:val="1"/>
                <w:szCs w:val="1"/>
                <w:color w:val="auto"/>
              </w:rPr>
            </w:pPr>
          </w:p>
        </w:tc>
        <w:tc>
          <w:tcPr>
            <w:tcW w:w="16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 Restricted cash</w:t>
      </w:r>
    </w:p>
    <w:p>
      <w:pPr>
        <w:spacing w:after="0" w:line="183" w:lineRule="exact"/>
        <w:rPr>
          <w:sz w:val="20"/>
          <w:szCs w:val="20"/>
          <w:color w:val="auto"/>
        </w:rPr>
      </w:pPr>
    </w:p>
    <w:p>
      <w:pPr>
        <w:ind w:right="400" w:firstLine="764"/>
        <w:spacing w:after="0" w:line="263" w:lineRule="auto"/>
        <w:rPr>
          <w:sz w:val="20"/>
          <w:szCs w:val="20"/>
          <w:color w:val="auto"/>
        </w:rPr>
      </w:pPr>
      <w:r>
        <w:rPr>
          <w:rFonts w:ascii="Arial" w:cs="Arial" w:eastAsia="Arial" w:hAnsi="Arial"/>
          <w:sz w:val="15"/>
          <w:szCs w:val="15"/>
          <w:color w:val="auto"/>
        </w:rPr>
        <w:t>The following table provides a reconciliation of cash, cash equivalents, and restricted cash reported within the consolidated balance sheets that sum to the total of the same such amounts shown in the statement of cash flows for the three months ended March 31, 2018 and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spacing w:after="0"/>
              <w:rPr>
                <w:sz w:val="20"/>
                <w:szCs w:val="20"/>
                <w:color w:val="auto"/>
              </w:rPr>
            </w:pPr>
            <w:r>
              <w:rPr>
                <w:rFonts w:ascii="Arial" w:cs="Arial" w:eastAsia="Arial" w:hAnsi="Arial"/>
                <w:sz w:val="12"/>
                <w:szCs w:val="12"/>
                <w:b w:val="1"/>
                <w:bCs w:val="1"/>
                <w:color w:val="auto"/>
              </w:rPr>
              <w:t>March 31, 2018</w:t>
            </w:r>
          </w:p>
        </w:tc>
        <w:tc>
          <w:tcPr>
            <w:tcW w:w="80" w:type="dxa"/>
            <w:vAlign w:val="bottom"/>
          </w:tcPr>
          <w:p>
            <w:pPr>
              <w:spacing w:after="0"/>
              <w:rPr>
                <w:sz w:val="12"/>
                <w:szCs w:val="12"/>
                <w:color w:val="auto"/>
              </w:rPr>
            </w:pPr>
          </w:p>
        </w:tc>
        <w:tc>
          <w:tcPr>
            <w:tcW w:w="920" w:type="dxa"/>
            <w:vAlign w:val="bottom"/>
          </w:tcPr>
          <w:p>
            <w:pPr>
              <w:jc w:val="right"/>
              <w:ind w:right="52"/>
              <w:spacing w:after="0"/>
              <w:rPr>
                <w:sz w:val="20"/>
                <w:szCs w:val="20"/>
                <w:color w:val="auto"/>
              </w:rPr>
            </w:pPr>
            <w:r>
              <w:rPr>
                <w:rFonts w:ascii="Arial" w:cs="Arial" w:eastAsia="Arial" w:hAnsi="Arial"/>
                <w:sz w:val="12"/>
                <w:szCs w:val="12"/>
                <w:b w:val="1"/>
                <w:bCs w:val="1"/>
                <w:color w:val="auto"/>
                <w:w w:val="91"/>
              </w:rPr>
              <w:t>March 31, 2017</w:t>
            </w:r>
          </w:p>
        </w:tc>
        <w:tc>
          <w:tcPr>
            <w:tcW w:w="200" w:type="dxa"/>
            <w:vAlign w:val="bottom"/>
          </w:tcPr>
          <w:p>
            <w:pPr>
              <w:spacing w:after="0"/>
              <w:rPr>
                <w:sz w:val="12"/>
                <w:szCs w:val="12"/>
                <w:color w:val="auto"/>
              </w:rPr>
            </w:pP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w w:val="98"/>
              </w:rPr>
              <w:t>December 31, 2017</w:t>
            </w: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74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52"/>
              <w:spacing w:after="0" w:line="123" w:lineRule="exact"/>
              <w:rPr>
                <w:sz w:val="20"/>
                <w:szCs w:val="20"/>
                <w:color w:val="auto"/>
              </w:rPr>
            </w:pPr>
            <w:r>
              <w:rPr>
                <w:rFonts w:ascii="Arial" w:cs="Arial" w:eastAsia="Arial" w:hAnsi="Arial"/>
                <w:sz w:val="12"/>
                <w:szCs w:val="12"/>
                <w:b w:val="1"/>
                <w:bCs w:val="1"/>
                <w:color w:val="auto"/>
                <w:w w:val="94"/>
              </w:rPr>
              <w:t>(in thousands)</w:t>
            </w:r>
          </w:p>
        </w:tc>
        <w:tc>
          <w:tcPr>
            <w:tcW w:w="2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1740" w:type="dxa"/>
            <w:vAlign w:val="bottom"/>
          </w:tcPr>
          <w:p>
            <w:pPr>
              <w:spacing w:after="0"/>
              <w:rPr>
                <w:sz w:val="16"/>
                <w:szCs w:val="16"/>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5"/>
                <w:szCs w:val="15"/>
                <w:color w:val="auto"/>
              </w:rPr>
              <w:t>Cash and cash equivalents</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154,031</w:t>
            </w: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69,786</w:t>
            </w:r>
          </w:p>
        </w:tc>
        <w:tc>
          <w:tcPr>
            <w:tcW w:w="540" w:type="dxa"/>
            <w:vAlign w:val="bottom"/>
            <w:gridSpan w:val="2"/>
            <w:shd w:val="clear" w:color="auto" w:fill="CFF0FC"/>
          </w:tcPr>
          <w:p>
            <w:pPr>
              <w:jc w:val="right"/>
              <w:ind w:right="222"/>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87,680</w:t>
            </w:r>
          </w:p>
        </w:tc>
        <w:tc>
          <w:tcPr>
            <w:tcW w:w="80" w:type="dxa"/>
            <w:vAlign w:val="bottom"/>
            <w:shd w:val="clear" w:color="auto" w:fill="CFF0FC"/>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40" w:type="dxa"/>
            <w:vAlign w:val="bottom"/>
            <w:gridSpan w:val="2"/>
          </w:tcPr>
          <w:p>
            <w:pPr>
              <w:ind w:left="1740"/>
              <w:spacing w:after="0"/>
              <w:rPr>
                <w:sz w:val="20"/>
                <w:szCs w:val="20"/>
                <w:color w:val="auto"/>
              </w:rPr>
            </w:pPr>
            <w:r>
              <w:rPr>
                <w:rFonts w:ascii="Arial" w:cs="Arial" w:eastAsia="Arial" w:hAnsi="Arial"/>
                <w:sz w:val="15"/>
                <w:szCs w:val="15"/>
                <w:color w:val="auto"/>
              </w:rPr>
              <w:t>Restricted cash</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5,968</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4,940</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4,757</w:t>
            </w: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740" w:type="dxa"/>
            <w:vAlign w:val="bottom"/>
          </w:tcPr>
          <w:p>
            <w:pPr>
              <w:spacing w:after="0"/>
              <w:rPr>
                <w:sz w:val="16"/>
                <w:szCs w:val="16"/>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5"/>
                <w:szCs w:val="15"/>
                <w:color w:val="auto"/>
              </w:rPr>
              <w:t>Restricted cash, included in other assets</w:t>
            </w:r>
          </w:p>
        </w:tc>
        <w:tc>
          <w:tcPr>
            <w:tcW w:w="1140" w:type="dxa"/>
            <w:vAlign w:val="bottom"/>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347</w:t>
            </w:r>
          </w:p>
        </w:tc>
        <w:tc>
          <w:tcPr>
            <w:tcW w:w="80" w:type="dxa"/>
            <w:vAlign w:val="bottom"/>
            <w:shd w:val="clear" w:color="auto" w:fill="CFF0FC"/>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740" w:type="dxa"/>
            <w:vAlign w:val="bottom"/>
          </w:tcPr>
          <w:p>
            <w:pPr>
              <w:spacing w:after="0"/>
              <w:rPr>
                <w:sz w:val="15"/>
                <w:szCs w:val="15"/>
                <w:color w:val="auto"/>
              </w:rPr>
            </w:pPr>
          </w:p>
        </w:tc>
        <w:tc>
          <w:tcPr>
            <w:tcW w:w="3400" w:type="dxa"/>
            <w:vAlign w:val="bottom"/>
          </w:tcPr>
          <w:p>
            <w:pPr>
              <w:ind w:left="100"/>
              <w:spacing w:after="0"/>
              <w:rPr>
                <w:sz w:val="20"/>
                <w:szCs w:val="20"/>
                <w:color w:val="auto"/>
              </w:rPr>
            </w:pPr>
            <w:r>
              <w:rPr>
                <w:rFonts w:ascii="Arial" w:cs="Arial" w:eastAsia="Arial" w:hAnsi="Arial"/>
                <w:sz w:val="15"/>
                <w:szCs w:val="15"/>
                <w:color w:val="auto"/>
              </w:rPr>
              <w:t>Total cash, cash equivalents, and restricted cash</w:t>
            </w:r>
          </w:p>
        </w:tc>
        <w:tc>
          <w:tcPr>
            <w:tcW w:w="1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159,999</w:t>
            </w:r>
          </w:p>
        </w:tc>
        <w:tc>
          <w:tcPr>
            <w:tcW w:w="2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74,726</w:t>
            </w:r>
          </w:p>
        </w:tc>
        <w:tc>
          <w:tcPr>
            <w:tcW w:w="540" w:type="dxa"/>
            <w:vAlign w:val="bottom"/>
            <w:gridSpan w:val="2"/>
          </w:tcPr>
          <w:p>
            <w:pPr>
              <w:jc w:val="right"/>
              <w:ind w:right="222"/>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92,784</w:t>
            </w: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140" w:type="dxa"/>
            <w:vAlign w:val="bottom"/>
            <w:vMerge w:val="restart"/>
          </w:tcPr>
          <w:p>
            <w:pPr>
              <w:jc w:val="right"/>
              <w:ind w:right="407"/>
              <w:spacing w:after="0"/>
              <w:rPr>
                <w:sz w:val="20"/>
                <w:szCs w:val="20"/>
                <w:color w:val="auto"/>
              </w:rPr>
            </w:pPr>
            <w:r>
              <w:rPr>
                <w:rFonts w:ascii="Arial" w:cs="Arial" w:eastAsia="Arial" w:hAnsi="Arial"/>
                <w:sz w:val="15"/>
                <w:szCs w:val="15"/>
                <w:color w:val="auto"/>
              </w:rPr>
              <w:t>15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17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740" w:type="dxa"/>
            <w:vAlign w:val="bottom"/>
            <w:tcBorders>
              <w:bottom w:val="single" w:sz="8" w:color="9A9A9A"/>
            </w:tcBorders>
          </w:tcPr>
          <w:p>
            <w:pPr>
              <w:spacing w:after="0"/>
              <w:rPr>
                <w:sz w:val="7"/>
                <w:szCs w:val="7"/>
                <w:color w:val="auto"/>
              </w:rPr>
            </w:pPr>
          </w:p>
        </w:tc>
        <w:tc>
          <w:tcPr>
            <w:tcW w:w="34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7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-26035</wp:posOffset>
            </wp:positionV>
            <wp:extent cx="32385"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480" w:right="199" w:bottom="1440" w:gutter="0" w:footer="0" w:header="0"/>
          <w:type w:val="continuous"/>
        </w:sectPr>
      </w:pPr>
    </w:p>
    <w:bookmarkStart w:id="15" w:name="page16"/>
    <w:bookmarkEnd w:id="15"/>
    <w:p>
      <w:pPr>
        <w:ind w:right="100" w:firstLine="764"/>
        <w:spacing w:after="0" w:line="263" w:lineRule="auto"/>
        <w:rPr>
          <w:sz w:val="20"/>
          <w:szCs w:val="20"/>
          <w:color w:val="auto"/>
        </w:rPr>
      </w:pPr>
      <w:r>
        <w:rPr>
          <w:rFonts w:ascii="Arial" w:cs="Arial" w:eastAsia="Arial" w:hAnsi="Arial"/>
          <w:sz w:val="15"/>
          <w:szCs w:val="15"/>
          <w:color w:val="auto"/>
        </w:rPr>
        <w:t>Restricted cash is comprised of certificates of deposit related to landlord guarantees for our leased facilities. These restricted cash balances have been excluded from our cash and cash equivalents balance on our consolidated balance sheets.</w:t>
      </w:r>
    </w:p>
    <w:p>
      <w:pPr>
        <w:spacing w:after="0" w:line="3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6. Property and Equipment, Net</w:t>
      </w:r>
    </w:p>
    <w:p>
      <w:pPr>
        <w:spacing w:after="0" w:line="95" w:lineRule="exact"/>
        <w:rPr>
          <w:sz w:val="20"/>
          <w:szCs w:val="20"/>
          <w:color w:val="auto"/>
        </w:rPr>
      </w:pPr>
    </w:p>
    <w:p>
      <w:pPr>
        <w:ind w:left="520"/>
        <w:spacing w:after="0"/>
        <w:rPr>
          <w:sz w:val="20"/>
          <w:szCs w:val="20"/>
          <w:color w:val="auto"/>
        </w:rPr>
      </w:pPr>
      <w:r>
        <w:rPr>
          <w:rFonts w:ascii="Arial" w:cs="Arial" w:eastAsia="Arial" w:hAnsi="Arial"/>
          <w:sz w:val="15"/>
          <w:szCs w:val="15"/>
          <w:color w:val="auto"/>
        </w:rPr>
        <w:t>Property and equipment, net consists of the following:</w:t>
      </w:r>
    </w:p>
    <w:p>
      <w:pPr>
        <w:spacing w:after="0" w:line="183" w:lineRule="exact"/>
        <w:rPr>
          <w:sz w:val="20"/>
          <w:szCs w:val="20"/>
          <w:color w:val="auto"/>
        </w:rPr>
      </w:pPr>
    </w:p>
    <w:tbl>
      <w:tblPr>
        <w:tblLayout w:type="fixed"/>
        <w:tblInd w:w="1740" w:type="dxa"/>
        <w:tblCellMar>
          <w:top w:w="0" w:type="dxa"/>
          <w:left w:w="0" w:type="dxa"/>
          <w:bottom w:w="0" w:type="dxa"/>
          <w:right w:w="0" w:type="dxa"/>
        </w:tblCellMar>
      </w:tblPr>
      <w:tr>
        <w:trPr>
          <w:trHeight w:val="138"/>
        </w:trPr>
        <w:tc>
          <w:tcPr>
            <w:tcW w:w="5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w w:val="95"/>
              </w:rPr>
              <w:t>March 31, 2018</w:t>
            </w:r>
          </w:p>
        </w:tc>
        <w:tc>
          <w:tcPr>
            <w:tcW w:w="160" w:type="dxa"/>
            <w:vAlign w:val="bottom"/>
          </w:tcPr>
          <w:p>
            <w:pPr>
              <w:spacing w:after="0"/>
              <w:rPr>
                <w:sz w:val="12"/>
                <w:szCs w:val="12"/>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92"/>
              </w:rPr>
              <w:t>December 31, 2017</w:t>
            </w:r>
          </w:p>
        </w:tc>
      </w:tr>
      <w:tr>
        <w:trPr>
          <w:trHeight w:val="123"/>
        </w:trPr>
        <w:tc>
          <w:tcPr>
            <w:tcW w:w="5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680" w:type="dxa"/>
            <w:vAlign w:val="bottom"/>
            <w:tcBorders>
              <w:top w:val="single" w:sz="8" w:color="auto"/>
            </w:tcBorders>
            <w:gridSpan w:val="4"/>
          </w:tcPr>
          <w:p>
            <w:pPr>
              <w:jc w:val="right"/>
              <w:ind w:right="988"/>
              <w:spacing w:after="0" w:line="123" w:lineRule="exact"/>
              <w:rPr>
                <w:sz w:val="20"/>
                <w:szCs w:val="20"/>
                <w:color w:val="auto"/>
              </w:rPr>
            </w:pPr>
            <w:r>
              <w:rPr>
                <w:rFonts w:ascii="Arial" w:cs="Arial" w:eastAsia="Arial" w:hAnsi="Arial"/>
                <w:sz w:val="12"/>
                <w:szCs w:val="12"/>
                <w:b w:val="1"/>
                <w:bCs w:val="1"/>
                <w:color w:val="auto"/>
              </w:rPr>
              <w:t>(in thousands)</w:t>
            </w:r>
          </w:p>
        </w:tc>
        <w:tc>
          <w:tcPr>
            <w:tcW w:w="80" w:type="dxa"/>
            <w:vAlign w:val="bottom"/>
          </w:tcPr>
          <w:p>
            <w:pPr>
              <w:spacing w:after="0"/>
              <w:rPr>
                <w:sz w:val="10"/>
                <w:szCs w:val="10"/>
                <w:color w:val="auto"/>
              </w:rPr>
            </w:pPr>
          </w:p>
        </w:tc>
      </w:tr>
      <w:tr>
        <w:trPr>
          <w:trHeight w:val="186"/>
        </w:trPr>
        <w:tc>
          <w:tcPr>
            <w:tcW w:w="5100" w:type="dxa"/>
            <w:vAlign w:val="bottom"/>
            <w:shd w:val="clear" w:color="auto" w:fill="CFF0FC"/>
          </w:tcPr>
          <w:p>
            <w:pPr>
              <w:spacing w:after="0"/>
              <w:rPr>
                <w:sz w:val="20"/>
                <w:szCs w:val="20"/>
                <w:color w:val="auto"/>
              </w:rPr>
            </w:pPr>
            <w:r>
              <w:rPr>
                <w:rFonts w:ascii="Arial" w:cs="Arial" w:eastAsia="Arial" w:hAnsi="Arial"/>
                <w:sz w:val="15"/>
                <w:szCs w:val="15"/>
                <w:color w:val="auto"/>
              </w:rPr>
              <w:t>Computer equipment and purchased software</w:t>
            </w:r>
          </w:p>
        </w:tc>
        <w:tc>
          <w:tcPr>
            <w:tcW w:w="140" w:type="dxa"/>
            <w:vAlign w:val="bottom"/>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5,457</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4,571</w:t>
            </w:r>
          </w:p>
        </w:tc>
        <w:tc>
          <w:tcPr>
            <w:tcW w:w="80" w:type="dxa"/>
            <w:vAlign w:val="bottom"/>
            <w:shd w:val="clear" w:color="auto" w:fill="CFF0FC"/>
          </w:tcPr>
          <w:p>
            <w:pPr>
              <w:spacing w:after="0"/>
              <w:rPr>
                <w:sz w:val="16"/>
                <w:szCs w:val="16"/>
                <w:color w:val="auto"/>
              </w:rPr>
            </w:pPr>
          </w:p>
        </w:tc>
      </w:tr>
      <w:tr>
        <w:trPr>
          <w:trHeight w:val="186"/>
        </w:trPr>
        <w:tc>
          <w:tcPr>
            <w:tcW w:w="5100" w:type="dxa"/>
            <w:vAlign w:val="bottom"/>
          </w:tcPr>
          <w:p>
            <w:pPr>
              <w:spacing w:after="0"/>
              <w:rPr>
                <w:sz w:val="20"/>
                <w:szCs w:val="20"/>
                <w:color w:val="auto"/>
              </w:rPr>
            </w:pPr>
            <w:r>
              <w:rPr>
                <w:rFonts w:ascii="Arial" w:cs="Arial" w:eastAsia="Arial" w:hAnsi="Arial"/>
                <w:sz w:val="15"/>
                <w:szCs w:val="15"/>
                <w:color w:val="auto"/>
              </w:rPr>
              <w:t>Employee computer equipment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6,015</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4,260</w:t>
            </w:r>
          </w:p>
        </w:tc>
        <w:tc>
          <w:tcPr>
            <w:tcW w:w="80" w:type="dxa"/>
            <w:vAlign w:val="bottom"/>
          </w:tcPr>
          <w:p>
            <w:pPr>
              <w:spacing w:after="0"/>
              <w:rPr>
                <w:sz w:val="16"/>
                <w:szCs w:val="16"/>
                <w:color w:val="auto"/>
              </w:rPr>
            </w:pPr>
          </w:p>
        </w:tc>
      </w:tr>
      <w:tr>
        <w:trPr>
          <w:trHeight w:val="186"/>
        </w:trPr>
        <w:tc>
          <w:tcPr>
            <w:tcW w:w="5100" w:type="dxa"/>
            <w:vAlign w:val="bottom"/>
            <w:shd w:val="clear" w:color="auto" w:fill="CFF0FC"/>
          </w:tcPr>
          <w:p>
            <w:pPr>
              <w:spacing w:after="0"/>
              <w:rPr>
                <w:sz w:val="20"/>
                <w:szCs w:val="20"/>
                <w:color w:val="auto"/>
              </w:rPr>
            </w:pPr>
            <w:r>
              <w:rPr>
                <w:rFonts w:ascii="Arial" w:cs="Arial" w:eastAsia="Arial" w:hAnsi="Arial"/>
                <w:sz w:val="15"/>
                <w:szCs w:val="15"/>
                <w:color w:val="auto"/>
              </w:rPr>
              <w:t>Furniture and fixtures</w:t>
            </w:r>
          </w:p>
        </w:tc>
        <w:tc>
          <w:tcPr>
            <w:tcW w:w="14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11,330</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11,083</w:t>
            </w:r>
          </w:p>
        </w:tc>
        <w:tc>
          <w:tcPr>
            <w:tcW w:w="80" w:type="dxa"/>
            <w:vAlign w:val="bottom"/>
            <w:shd w:val="clear" w:color="auto" w:fill="CFF0FC"/>
          </w:tcPr>
          <w:p>
            <w:pPr>
              <w:spacing w:after="0"/>
              <w:rPr>
                <w:sz w:val="16"/>
                <w:szCs w:val="16"/>
                <w:color w:val="auto"/>
              </w:rPr>
            </w:pPr>
          </w:p>
        </w:tc>
      </w:tr>
      <w:tr>
        <w:trPr>
          <w:trHeight w:val="186"/>
        </w:trPr>
        <w:tc>
          <w:tcPr>
            <w:tcW w:w="5100" w:type="dxa"/>
            <w:vAlign w:val="bottom"/>
          </w:tcPr>
          <w:p>
            <w:pPr>
              <w:spacing w:after="0"/>
              <w:rPr>
                <w:sz w:val="20"/>
                <w:szCs w:val="20"/>
                <w:color w:val="auto"/>
              </w:rPr>
            </w:pPr>
            <w:r>
              <w:rPr>
                <w:rFonts w:ascii="Arial" w:cs="Arial" w:eastAsia="Arial" w:hAnsi="Arial"/>
                <w:sz w:val="15"/>
                <w:szCs w:val="15"/>
                <w:color w:val="auto"/>
              </w:rPr>
              <w:t>Office equipment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2,546</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2,620</w:t>
            </w:r>
          </w:p>
        </w:tc>
        <w:tc>
          <w:tcPr>
            <w:tcW w:w="80" w:type="dxa"/>
            <w:vAlign w:val="bottom"/>
          </w:tcPr>
          <w:p>
            <w:pPr>
              <w:spacing w:after="0"/>
              <w:rPr>
                <w:sz w:val="16"/>
                <w:szCs w:val="16"/>
                <w:color w:val="auto"/>
              </w:rPr>
            </w:pPr>
          </w:p>
        </w:tc>
      </w:tr>
      <w:tr>
        <w:trPr>
          <w:trHeight w:val="186"/>
        </w:trPr>
        <w:tc>
          <w:tcPr>
            <w:tcW w:w="5100" w:type="dxa"/>
            <w:vAlign w:val="bottom"/>
            <w:shd w:val="clear" w:color="auto" w:fill="CFF0FC"/>
          </w:tcPr>
          <w:p>
            <w:pPr>
              <w:spacing w:after="0"/>
              <w:rPr>
                <w:sz w:val="20"/>
                <w:szCs w:val="20"/>
                <w:color w:val="auto"/>
              </w:rPr>
            </w:pPr>
            <w:r>
              <w:rPr>
                <w:rFonts w:ascii="Arial" w:cs="Arial" w:eastAsia="Arial" w:hAnsi="Arial"/>
                <w:sz w:val="15"/>
                <w:szCs w:val="15"/>
                <w:color w:val="auto"/>
              </w:rPr>
              <w:t>Leasehold improvements</w:t>
            </w:r>
          </w:p>
        </w:tc>
        <w:tc>
          <w:tcPr>
            <w:tcW w:w="14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38,097</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33,446</w:t>
            </w:r>
          </w:p>
        </w:tc>
        <w:tc>
          <w:tcPr>
            <w:tcW w:w="80" w:type="dxa"/>
            <w:vAlign w:val="bottom"/>
            <w:shd w:val="clear" w:color="auto" w:fill="CFF0FC"/>
          </w:tcPr>
          <w:p>
            <w:pPr>
              <w:spacing w:after="0"/>
              <w:rPr>
                <w:sz w:val="16"/>
                <w:szCs w:val="16"/>
                <w:color w:val="auto"/>
              </w:rPr>
            </w:pPr>
          </w:p>
        </w:tc>
      </w:tr>
      <w:tr>
        <w:trPr>
          <w:trHeight w:val="186"/>
        </w:trPr>
        <w:tc>
          <w:tcPr>
            <w:tcW w:w="5100" w:type="dxa"/>
            <w:vAlign w:val="bottom"/>
          </w:tcPr>
          <w:p>
            <w:pPr>
              <w:spacing w:after="0"/>
              <w:rPr>
                <w:sz w:val="20"/>
                <w:szCs w:val="20"/>
                <w:color w:val="auto"/>
              </w:rPr>
            </w:pPr>
            <w:r>
              <w:rPr>
                <w:rFonts w:ascii="Arial" w:cs="Arial" w:eastAsia="Arial" w:hAnsi="Arial"/>
                <w:sz w:val="15"/>
                <w:szCs w:val="15"/>
                <w:color w:val="auto"/>
              </w:rPr>
              <w:t>Equipment under capital lease</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3,450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3,450</w:t>
            </w:r>
          </w:p>
        </w:tc>
        <w:tc>
          <w:tcPr>
            <w:tcW w:w="80" w:type="dxa"/>
            <w:vAlign w:val="bottom"/>
          </w:tcPr>
          <w:p>
            <w:pPr>
              <w:spacing w:after="0"/>
              <w:rPr>
                <w:sz w:val="16"/>
                <w:szCs w:val="16"/>
                <w:color w:val="auto"/>
              </w:rPr>
            </w:pPr>
          </w:p>
        </w:tc>
      </w:tr>
      <w:tr>
        <w:trPr>
          <w:trHeight w:val="186"/>
        </w:trPr>
        <w:tc>
          <w:tcPr>
            <w:tcW w:w="5100" w:type="dxa"/>
            <w:vAlign w:val="bottom"/>
            <w:shd w:val="clear" w:color="auto" w:fill="CFF0FC"/>
          </w:tcPr>
          <w:p>
            <w:pPr>
              <w:spacing w:after="0"/>
              <w:rPr>
                <w:sz w:val="20"/>
                <w:szCs w:val="20"/>
                <w:color w:val="auto"/>
              </w:rPr>
            </w:pPr>
            <w:r>
              <w:rPr>
                <w:rFonts w:ascii="Arial" w:cs="Arial" w:eastAsia="Arial" w:hAnsi="Arial"/>
                <w:sz w:val="15"/>
                <w:szCs w:val="15"/>
                <w:color w:val="auto"/>
              </w:rPr>
              <w:t>Internal-use software</w:t>
            </w:r>
          </w:p>
        </w:tc>
        <w:tc>
          <w:tcPr>
            <w:tcW w:w="14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3,449</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2,892</w:t>
            </w:r>
          </w:p>
        </w:tc>
        <w:tc>
          <w:tcPr>
            <w:tcW w:w="80" w:type="dxa"/>
            <w:vAlign w:val="bottom"/>
            <w:shd w:val="clear" w:color="auto" w:fill="CFF0FC"/>
          </w:tcPr>
          <w:p>
            <w:pPr>
              <w:spacing w:after="0"/>
              <w:rPr>
                <w:sz w:val="16"/>
                <w:szCs w:val="16"/>
                <w:color w:val="auto"/>
              </w:rPr>
            </w:pPr>
          </w:p>
        </w:tc>
      </w:tr>
      <w:tr>
        <w:trPr>
          <w:trHeight w:val="186"/>
        </w:trPr>
        <w:tc>
          <w:tcPr>
            <w:tcW w:w="510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Construction in progress</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2,771</w:t>
            </w:r>
          </w:p>
        </w:tc>
        <w:tc>
          <w:tcPr>
            <w:tcW w:w="18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3,198</w:t>
            </w:r>
          </w:p>
        </w:tc>
        <w:tc>
          <w:tcPr>
            <w:tcW w:w="80" w:type="dxa"/>
            <w:vAlign w:val="bottom"/>
            <w:tcBorders>
              <w:bottom w:val="single" w:sz="8" w:color="CFF0FC"/>
            </w:tcBorders>
          </w:tcPr>
          <w:p>
            <w:pPr>
              <w:spacing w:after="0"/>
              <w:rPr>
                <w:sz w:val="16"/>
                <w:szCs w:val="16"/>
                <w:color w:val="auto"/>
              </w:rPr>
            </w:pPr>
          </w:p>
        </w:tc>
      </w:tr>
      <w:tr>
        <w:trPr>
          <w:trHeight w:val="177"/>
        </w:trPr>
        <w:tc>
          <w:tcPr>
            <w:tcW w:w="51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Total property and equipment</w:t>
            </w: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73,115</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65,520</w:t>
            </w:r>
          </w:p>
        </w:tc>
        <w:tc>
          <w:tcPr>
            <w:tcW w:w="80" w:type="dxa"/>
            <w:vAlign w:val="bottom"/>
            <w:shd w:val="clear" w:color="auto" w:fill="CFF0FC"/>
          </w:tcPr>
          <w:p>
            <w:pPr>
              <w:spacing w:after="0"/>
              <w:rPr>
                <w:sz w:val="15"/>
                <w:szCs w:val="15"/>
                <w:color w:val="auto"/>
              </w:rPr>
            </w:pPr>
          </w:p>
        </w:tc>
      </w:tr>
      <w:tr>
        <w:trPr>
          <w:trHeight w:val="186"/>
        </w:trPr>
        <w:tc>
          <w:tcPr>
            <w:tcW w:w="5100" w:type="dxa"/>
            <w:vAlign w:val="bottom"/>
          </w:tcPr>
          <w:p>
            <w:pPr>
              <w:spacing w:after="0"/>
              <w:rPr>
                <w:sz w:val="20"/>
                <w:szCs w:val="20"/>
                <w:color w:val="auto"/>
              </w:rPr>
            </w:pPr>
            <w:r>
              <w:rPr>
                <w:rFonts w:ascii="Arial" w:cs="Arial" w:eastAsia="Arial" w:hAnsi="Arial"/>
                <w:sz w:val="15"/>
                <w:szCs w:val="15"/>
                <w:color w:val="auto"/>
              </w:rPr>
              <w:t>Less accumulated depreciation and amortization</w:t>
            </w:r>
          </w:p>
        </w:tc>
        <w:tc>
          <w:tcPr>
            <w:tcW w:w="14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5"/>
                <w:szCs w:val="15"/>
                <w:color w:val="auto"/>
              </w:rPr>
              <w:t>(25,381)</w:t>
            </w:r>
          </w:p>
        </w:tc>
        <w:tc>
          <w:tcPr>
            <w:tcW w:w="160" w:type="dxa"/>
            <w:vAlign w:val="bottom"/>
          </w:tcPr>
          <w:p>
            <w:pPr>
              <w:spacing w:after="0"/>
              <w:rPr>
                <w:sz w:val="16"/>
                <w:szCs w:val="16"/>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5"/>
                <w:szCs w:val="15"/>
                <w:color w:val="auto"/>
              </w:rPr>
              <w:t>(22,226)</w:t>
            </w:r>
          </w:p>
        </w:tc>
      </w:tr>
      <w:tr>
        <w:trPr>
          <w:trHeight w:val="177"/>
        </w:trPr>
        <w:tc>
          <w:tcPr>
            <w:tcW w:w="5100" w:type="dxa"/>
            <w:vAlign w:val="bottom"/>
            <w:tcBorders>
              <w:top w:val="single" w:sz="8" w:color="CFF0FC"/>
              <w:bottom w:val="single" w:sz="8" w:color="CFF0FC"/>
            </w:tcBorders>
            <w:shd w:val="clear" w:color="auto" w:fill="CFF0FC"/>
          </w:tcPr>
          <w:p>
            <w:pPr>
              <w:ind w:left="200"/>
              <w:spacing w:after="0"/>
              <w:rPr>
                <w:sz w:val="20"/>
                <w:szCs w:val="20"/>
                <w:color w:val="auto"/>
              </w:rPr>
            </w:pPr>
            <w:r>
              <w:rPr>
                <w:rFonts w:ascii="Arial" w:cs="Arial" w:eastAsia="Arial" w:hAnsi="Arial"/>
                <w:sz w:val="15"/>
                <w:szCs w:val="15"/>
                <w:color w:val="auto"/>
              </w:rPr>
              <w:t>Property and equipment, net</w:t>
            </w:r>
          </w:p>
        </w:tc>
        <w:tc>
          <w:tcPr>
            <w:tcW w:w="14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47,734</w:t>
            </w:r>
          </w:p>
        </w:tc>
        <w:tc>
          <w:tcPr>
            <w:tcW w:w="18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43,294</w:t>
            </w: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r>
      <w:tr>
        <w:trPr>
          <w:trHeight w:val="20"/>
        </w:trPr>
        <w:tc>
          <w:tcPr>
            <w:tcW w:w="5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Depreciation and amortization expense on property and equipment was $3.1 million for the three months ended March 31, 2018 and $1.9 million for the three months ended March 31,</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2017.</w:t>
      </w:r>
    </w:p>
    <w:p>
      <w:pPr>
        <w:spacing w:after="0" w:line="3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7. Capitalized Software Development Costs</w:t>
      </w:r>
    </w:p>
    <w:p>
      <w:pPr>
        <w:spacing w:after="0" w:line="95" w:lineRule="exact"/>
        <w:rPr>
          <w:sz w:val="20"/>
          <w:szCs w:val="20"/>
          <w:color w:val="auto"/>
        </w:rPr>
      </w:pPr>
    </w:p>
    <w:p>
      <w:pPr>
        <w:ind w:left="520"/>
        <w:spacing w:after="0"/>
        <w:rPr>
          <w:sz w:val="20"/>
          <w:szCs w:val="20"/>
          <w:color w:val="auto"/>
        </w:rPr>
      </w:pPr>
      <w:r>
        <w:rPr>
          <w:rFonts w:ascii="Arial" w:cs="Arial" w:eastAsia="Arial" w:hAnsi="Arial"/>
          <w:sz w:val="15"/>
          <w:szCs w:val="15"/>
          <w:color w:val="auto"/>
        </w:rPr>
        <w:t>Capitalized software development costs, exclusive of those recorded within property and equipment, consisted of the following:</w:t>
      </w:r>
    </w:p>
    <w:p>
      <w:pPr>
        <w:spacing w:after="0" w:line="238" w:lineRule="exact"/>
        <w:rPr>
          <w:sz w:val="20"/>
          <w:szCs w:val="20"/>
          <w:color w:val="auto"/>
        </w:rPr>
      </w:pPr>
    </w:p>
    <w:tbl>
      <w:tblPr>
        <w:tblLayout w:type="fixed"/>
        <w:tblInd w:w="1740" w:type="dxa"/>
        <w:tblCellMar>
          <w:top w:w="0" w:type="dxa"/>
          <w:left w:w="0" w:type="dxa"/>
          <w:bottom w:w="0" w:type="dxa"/>
          <w:right w:w="0" w:type="dxa"/>
        </w:tblCellMar>
      </w:tblPr>
      <w:tr>
        <w:trPr>
          <w:trHeight w:val="138"/>
        </w:trPr>
        <w:tc>
          <w:tcPr>
            <w:tcW w:w="4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March 31, 2018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94"/>
              </w:rPr>
              <w:t>December 31, 2017</w:t>
            </w:r>
          </w:p>
        </w:tc>
      </w:tr>
      <w:tr>
        <w:trPr>
          <w:trHeight w:val="123"/>
        </w:trPr>
        <w:tc>
          <w:tcPr>
            <w:tcW w:w="48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900" w:type="dxa"/>
            <w:vAlign w:val="bottom"/>
            <w:tcBorders>
              <w:top w:val="single" w:sz="8" w:color="auto"/>
            </w:tcBorders>
            <w:gridSpan w:val="5"/>
          </w:tcPr>
          <w:p>
            <w:pPr>
              <w:jc w:val="right"/>
              <w:ind w:right="1131"/>
              <w:spacing w:after="0" w:line="123" w:lineRule="exact"/>
              <w:rPr>
                <w:sz w:val="20"/>
                <w:szCs w:val="20"/>
                <w:color w:val="auto"/>
              </w:rPr>
            </w:pPr>
            <w:r>
              <w:rPr>
                <w:rFonts w:ascii="Arial" w:cs="Arial" w:eastAsia="Arial" w:hAnsi="Arial"/>
                <w:sz w:val="12"/>
                <w:szCs w:val="12"/>
                <w:b w:val="1"/>
                <w:bCs w:val="1"/>
                <w:color w:val="auto"/>
              </w:rPr>
              <w:t>(in thousands)</w:t>
            </w:r>
          </w:p>
        </w:tc>
        <w:tc>
          <w:tcPr>
            <w:tcW w:w="80" w:type="dxa"/>
            <w:vAlign w:val="bottom"/>
          </w:tcPr>
          <w:p>
            <w:pPr>
              <w:spacing w:after="0"/>
              <w:rPr>
                <w:sz w:val="10"/>
                <w:szCs w:val="10"/>
                <w:color w:val="auto"/>
              </w:rPr>
            </w:pPr>
          </w:p>
        </w:tc>
      </w:tr>
      <w:tr>
        <w:trPr>
          <w:trHeight w:val="186"/>
        </w:trPr>
        <w:tc>
          <w:tcPr>
            <w:tcW w:w="4820" w:type="dxa"/>
            <w:vAlign w:val="bottom"/>
            <w:shd w:val="clear" w:color="auto" w:fill="CFF0FC"/>
          </w:tcPr>
          <w:p>
            <w:pPr>
              <w:spacing w:after="0"/>
              <w:rPr>
                <w:sz w:val="20"/>
                <w:szCs w:val="20"/>
                <w:color w:val="auto"/>
              </w:rPr>
            </w:pPr>
            <w:r>
              <w:rPr>
                <w:rFonts w:ascii="Arial" w:cs="Arial" w:eastAsia="Arial" w:hAnsi="Arial"/>
                <w:sz w:val="15"/>
                <w:szCs w:val="15"/>
                <w:color w:val="auto"/>
              </w:rPr>
              <w:t>Gross capitalized software development costs</w:t>
            </w:r>
          </w:p>
        </w:tc>
        <w:tc>
          <w:tcPr>
            <w:tcW w:w="200" w:type="dxa"/>
            <w:vAlign w:val="bottom"/>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36,305</w:t>
            </w:r>
          </w:p>
        </w:tc>
        <w:tc>
          <w:tcPr>
            <w:tcW w:w="120" w:type="dxa"/>
            <w:vAlign w:val="bottom"/>
            <w:shd w:val="clear" w:color="auto" w:fill="CFF0FC"/>
          </w:tcPr>
          <w:p>
            <w:pPr>
              <w:spacing w:after="0"/>
              <w:rPr>
                <w:sz w:val="16"/>
                <w:szCs w:val="16"/>
                <w:color w:val="auto"/>
              </w:rPr>
            </w:pP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5"/>
                <w:szCs w:val="15"/>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33,360</w:t>
            </w:r>
          </w:p>
        </w:tc>
        <w:tc>
          <w:tcPr>
            <w:tcW w:w="80" w:type="dxa"/>
            <w:vAlign w:val="bottom"/>
            <w:shd w:val="clear" w:color="auto" w:fill="CFF0FC"/>
          </w:tcPr>
          <w:p>
            <w:pPr>
              <w:spacing w:after="0"/>
              <w:rPr>
                <w:sz w:val="16"/>
                <w:szCs w:val="16"/>
                <w:color w:val="auto"/>
              </w:rPr>
            </w:pPr>
          </w:p>
        </w:tc>
      </w:tr>
      <w:tr>
        <w:trPr>
          <w:trHeight w:val="186"/>
        </w:trPr>
        <w:tc>
          <w:tcPr>
            <w:tcW w:w="4820" w:type="dxa"/>
            <w:vAlign w:val="bottom"/>
          </w:tcPr>
          <w:p>
            <w:pPr>
              <w:spacing w:after="0"/>
              <w:rPr>
                <w:sz w:val="20"/>
                <w:szCs w:val="20"/>
                <w:color w:val="auto"/>
              </w:rPr>
            </w:pPr>
            <w:r>
              <w:rPr>
                <w:rFonts w:ascii="Arial" w:cs="Arial" w:eastAsia="Arial" w:hAnsi="Arial"/>
                <w:sz w:val="15"/>
                <w:szCs w:val="15"/>
                <w:color w:val="auto"/>
              </w:rPr>
              <w:t>Accumulated amortization</w:t>
            </w:r>
          </w:p>
        </w:tc>
        <w:tc>
          <w:tcPr>
            <w:tcW w:w="200" w:type="dxa"/>
            <w:vAlign w:val="bottom"/>
          </w:tcPr>
          <w:p>
            <w:pPr>
              <w:spacing w:after="0"/>
              <w:rPr>
                <w:sz w:val="16"/>
                <w:szCs w:val="16"/>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5"/>
                <w:szCs w:val="15"/>
                <w:color w:val="auto"/>
              </w:rPr>
              <w:t>(26,420)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5"/>
                <w:szCs w:val="15"/>
                <w:color w:val="auto"/>
              </w:rPr>
              <w:t>(24,600)</w:t>
            </w:r>
          </w:p>
        </w:tc>
      </w:tr>
      <w:tr>
        <w:trPr>
          <w:trHeight w:val="177"/>
        </w:trPr>
        <w:tc>
          <w:tcPr>
            <w:tcW w:w="4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5"/>
                <w:szCs w:val="15"/>
                <w:color w:val="auto"/>
              </w:rPr>
              <w:t>Capitalized software development costs, net</w:t>
            </w:r>
          </w:p>
        </w:tc>
        <w:tc>
          <w:tcPr>
            <w:tcW w:w="20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9,885</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8,760</w:t>
            </w: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r>
      <w:tr>
        <w:trPr>
          <w:trHeight w:val="20"/>
        </w:trPr>
        <w:tc>
          <w:tcPr>
            <w:tcW w:w="4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7" w:lineRule="exact"/>
        <w:rPr>
          <w:sz w:val="20"/>
          <w:szCs w:val="20"/>
          <w:color w:val="auto"/>
        </w:rPr>
      </w:pPr>
    </w:p>
    <w:p>
      <w:pPr>
        <w:ind w:left="520"/>
        <w:spacing w:after="0"/>
        <w:rPr>
          <w:sz w:val="20"/>
          <w:szCs w:val="20"/>
          <w:color w:val="auto"/>
        </w:rPr>
      </w:pPr>
      <w:r>
        <w:rPr>
          <w:rFonts w:ascii="Arial" w:cs="Arial" w:eastAsia="Arial" w:hAnsi="Arial"/>
          <w:sz w:val="15"/>
          <w:szCs w:val="15"/>
          <w:color w:val="auto"/>
        </w:rPr>
        <w:t>Capitalized software development costs are amortized on a straight-line basis over their estimated useful life of two to three years.</w:t>
      </w:r>
    </w:p>
    <w:p>
      <w:pPr>
        <w:spacing w:after="0" w:line="211" w:lineRule="exact"/>
        <w:rPr>
          <w:sz w:val="20"/>
          <w:szCs w:val="20"/>
          <w:color w:val="auto"/>
        </w:rPr>
      </w:pPr>
    </w:p>
    <w:p>
      <w:pPr>
        <w:ind w:firstLine="520"/>
        <w:spacing w:after="0" w:line="263" w:lineRule="auto"/>
        <w:rPr>
          <w:sz w:val="20"/>
          <w:szCs w:val="20"/>
          <w:color w:val="auto"/>
        </w:rPr>
      </w:pPr>
      <w:r>
        <w:rPr>
          <w:rFonts w:ascii="Arial" w:cs="Arial" w:eastAsia="Arial" w:hAnsi="Arial"/>
          <w:sz w:val="15"/>
          <w:szCs w:val="15"/>
          <w:color w:val="auto"/>
        </w:rPr>
        <w:t>The following table summarizes software development costs capitalized, stock-based compensation included in capitalized software development costs, and amortization of capitalized software development costs.</w:t>
      </w:r>
    </w:p>
    <w:p>
      <w:pPr>
        <w:spacing w:after="0" w:line="208" w:lineRule="exact"/>
        <w:rPr>
          <w:sz w:val="20"/>
          <w:szCs w:val="20"/>
          <w:color w:val="auto"/>
        </w:rPr>
      </w:pPr>
    </w:p>
    <w:tbl>
      <w:tblPr>
        <w:tblLayout w:type="fixed"/>
        <w:tblInd w:w="1740" w:type="dxa"/>
        <w:tblCellMar>
          <w:top w:w="0" w:type="dxa"/>
          <w:left w:w="0" w:type="dxa"/>
          <w:bottom w:w="0" w:type="dxa"/>
          <w:right w:w="0" w:type="dxa"/>
        </w:tblCellMar>
      </w:tblPr>
      <w:tr>
        <w:trPr>
          <w:trHeight w:val="138"/>
        </w:trPr>
        <w:tc>
          <w:tcPr>
            <w:tcW w:w="5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60" w:type="dxa"/>
            <w:vAlign w:val="bottom"/>
            <w:gridSpan w:val="4"/>
          </w:tcPr>
          <w:p>
            <w:pPr>
              <w:ind w:left="200"/>
              <w:spacing w:after="0"/>
              <w:rPr>
                <w:sz w:val="20"/>
                <w:szCs w:val="20"/>
                <w:color w:val="auto"/>
              </w:rPr>
            </w:pPr>
            <w:r>
              <w:rPr>
                <w:rFonts w:ascii="Arial" w:cs="Arial" w:eastAsia="Arial" w:hAnsi="Arial"/>
                <w:sz w:val="12"/>
                <w:szCs w:val="12"/>
                <w:b w:val="1"/>
                <w:bCs w:val="1"/>
                <w:color w:val="auto"/>
              </w:rPr>
              <w:t>Three Months Ended March 31,</w:t>
            </w:r>
          </w:p>
        </w:tc>
      </w:tr>
      <w:tr>
        <w:trPr>
          <w:trHeight w:val="123"/>
        </w:trPr>
        <w:tc>
          <w:tcPr>
            <w:tcW w:w="5380" w:type="dxa"/>
            <w:vAlign w:val="bottom"/>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jc w:val="right"/>
              <w:ind w:right="454"/>
              <w:spacing w:after="0" w:line="123" w:lineRule="exact"/>
              <w:rPr>
                <w:sz w:val="20"/>
                <w:szCs w:val="20"/>
                <w:color w:val="auto"/>
              </w:rPr>
            </w:pPr>
            <w:r>
              <w:rPr>
                <w:rFonts w:ascii="Arial" w:cs="Arial" w:eastAsia="Arial" w:hAnsi="Arial"/>
                <w:sz w:val="12"/>
                <w:szCs w:val="12"/>
                <w:b w:val="1"/>
                <w:bCs w:val="1"/>
                <w:color w:val="auto"/>
              </w:rPr>
              <w:t>2018</w:t>
            </w:r>
          </w:p>
        </w:tc>
        <w:tc>
          <w:tcPr>
            <w:tcW w:w="52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jc w:val="right"/>
              <w:ind w:right="451"/>
              <w:spacing w:after="0" w:line="123" w:lineRule="exact"/>
              <w:rPr>
                <w:sz w:val="20"/>
                <w:szCs w:val="20"/>
                <w:color w:val="auto"/>
              </w:rPr>
            </w:pPr>
            <w:r>
              <w:rPr>
                <w:rFonts w:ascii="Arial" w:cs="Arial" w:eastAsia="Arial" w:hAnsi="Arial"/>
                <w:sz w:val="12"/>
                <w:szCs w:val="12"/>
                <w:b w:val="1"/>
                <w:bCs w:val="1"/>
                <w:color w:val="auto"/>
              </w:rPr>
              <w:t>2017</w:t>
            </w:r>
          </w:p>
        </w:tc>
        <w:tc>
          <w:tcPr>
            <w:tcW w:w="80" w:type="dxa"/>
            <w:vAlign w:val="bottom"/>
          </w:tcPr>
          <w:p>
            <w:pPr>
              <w:spacing w:after="0"/>
              <w:rPr>
                <w:sz w:val="10"/>
                <w:szCs w:val="10"/>
                <w:color w:val="auto"/>
              </w:rPr>
            </w:pPr>
          </w:p>
        </w:tc>
      </w:tr>
      <w:tr>
        <w:trPr>
          <w:trHeight w:val="123"/>
        </w:trPr>
        <w:tc>
          <w:tcPr>
            <w:tcW w:w="5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gridSpan w:val="2"/>
          </w:tcPr>
          <w:p>
            <w:pPr>
              <w:jc w:val="right"/>
              <w:ind w:right="7"/>
              <w:spacing w:after="0" w:line="123" w:lineRule="exact"/>
              <w:rPr>
                <w:sz w:val="20"/>
                <w:szCs w:val="20"/>
                <w:color w:val="auto"/>
              </w:rPr>
            </w:pPr>
            <w:r>
              <w:rPr>
                <w:rFonts w:ascii="Arial" w:cs="Arial" w:eastAsia="Arial" w:hAnsi="Arial"/>
                <w:sz w:val="12"/>
                <w:szCs w:val="12"/>
                <w:b w:val="1"/>
                <w:bCs w:val="1"/>
                <w:color w:val="auto"/>
              </w:rPr>
              <w:t>(in thousands)</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86"/>
        </w:trPr>
        <w:tc>
          <w:tcPr>
            <w:tcW w:w="5380" w:type="dxa"/>
            <w:vAlign w:val="bottom"/>
            <w:shd w:val="clear" w:color="auto" w:fill="CFF0FC"/>
          </w:tcPr>
          <w:p>
            <w:pPr>
              <w:spacing w:after="0"/>
              <w:rPr>
                <w:sz w:val="20"/>
                <w:szCs w:val="20"/>
                <w:color w:val="auto"/>
              </w:rPr>
            </w:pPr>
            <w:r>
              <w:rPr>
                <w:rFonts w:ascii="Arial" w:cs="Arial" w:eastAsia="Arial" w:hAnsi="Arial"/>
                <w:sz w:val="15"/>
                <w:szCs w:val="15"/>
                <w:color w:val="auto"/>
              </w:rPr>
              <w:t>Software development costs capitalized</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5"/>
                <w:szCs w:val="15"/>
                <w:color w:val="auto"/>
              </w:rPr>
              <w:t>2,945</w:t>
            </w:r>
          </w:p>
        </w:tc>
        <w:tc>
          <w:tcPr>
            <w:tcW w:w="5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1,902</w:t>
            </w:r>
          </w:p>
        </w:tc>
        <w:tc>
          <w:tcPr>
            <w:tcW w:w="80" w:type="dxa"/>
            <w:vAlign w:val="bottom"/>
            <w:shd w:val="clear" w:color="auto" w:fill="CFF0FC"/>
          </w:tcPr>
          <w:p>
            <w:pPr>
              <w:spacing w:after="0"/>
              <w:rPr>
                <w:sz w:val="16"/>
                <w:szCs w:val="16"/>
                <w:color w:val="auto"/>
              </w:rPr>
            </w:pPr>
          </w:p>
        </w:tc>
      </w:tr>
      <w:tr>
        <w:trPr>
          <w:trHeight w:val="186"/>
        </w:trPr>
        <w:tc>
          <w:tcPr>
            <w:tcW w:w="5380" w:type="dxa"/>
            <w:vAlign w:val="bottom"/>
          </w:tcPr>
          <w:p>
            <w:pPr>
              <w:spacing w:after="0"/>
              <w:rPr>
                <w:sz w:val="20"/>
                <w:szCs w:val="20"/>
                <w:color w:val="auto"/>
              </w:rPr>
            </w:pPr>
            <w:r>
              <w:rPr>
                <w:rFonts w:ascii="Arial" w:cs="Arial" w:eastAsia="Arial" w:hAnsi="Arial"/>
                <w:sz w:val="15"/>
                <w:szCs w:val="15"/>
                <w:color w:val="auto"/>
              </w:rPr>
              <w:t>Stock-based compensation included in capitalized software development costs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34"/>
              <w:spacing w:after="0"/>
              <w:rPr>
                <w:sz w:val="20"/>
                <w:szCs w:val="20"/>
                <w:color w:val="auto"/>
              </w:rPr>
            </w:pPr>
            <w:r>
              <w:rPr>
                <w:rFonts w:ascii="Arial" w:cs="Arial" w:eastAsia="Arial" w:hAnsi="Arial"/>
                <w:sz w:val="15"/>
                <w:szCs w:val="15"/>
                <w:color w:val="auto"/>
              </w:rPr>
              <w:t>550</w:t>
            </w:r>
          </w:p>
        </w:tc>
        <w:tc>
          <w:tcPr>
            <w:tcW w:w="520" w:type="dxa"/>
            <w:vAlign w:val="bottom"/>
          </w:tcPr>
          <w:p>
            <w:pPr>
              <w:jc w:val="right"/>
              <w:ind w:right="267"/>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338</w:t>
            </w:r>
          </w:p>
        </w:tc>
        <w:tc>
          <w:tcPr>
            <w:tcW w:w="80" w:type="dxa"/>
            <w:vAlign w:val="bottom"/>
          </w:tcPr>
          <w:p>
            <w:pPr>
              <w:spacing w:after="0"/>
              <w:rPr>
                <w:sz w:val="16"/>
                <w:szCs w:val="16"/>
                <w:color w:val="auto"/>
              </w:rPr>
            </w:pPr>
          </w:p>
        </w:tc>
      </w:tr>
      <w:tr>
        <w:trPr>
          <w:trHeight w:val="186"/>
        </w:trPr>
        <w:tc>
          <w:tcPr>
            <w:tcW w:w="5380" w:type="dxa"/>
            <w:vAlign w:val="bottom"/>
            <w:shd w:val="clear" w:color="auto" w:fill="CFF0FC"/>
          </w:tcPr>
          <w:p>
            <w:pPr>
              <w:spacing w:after="0"/>
              <w:rPr>
                <w:sz w:val="20"/>
                <w:szCs w:val="20"/>
                <w:color w:val="auto"/>
              </w:rPr>
            </w:pPr>
            <w:r>
              <w:rPr>
                <w:rFonts w:ascii="Arial" w:cs="Arial" w:eastAsia="Arial" w:hAnsi="Arial"/>
                <w:sz w:val="15"/>
                <w:szCs w:val="15"/>
                <w:color w:val="auto"/>
              </w:rPr>
              <w:t>Amortization of capitalized software development costs</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5"/>
                <w:szCs w:val="15"/>
                <w:color w:val="auto"/>
              </w:rPr>
              <w:t>1,975</w:t>
            </w:r>
          </w:p>
        </w:tc>
        <w:tc>
          <w:tcPr>
            <w:tcW w:w="5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1,369</w:t>
            </w:r>
          </w:p>
        </w:tc>
        <w:tc>
          <w:tcPr>
            <w:tcW w:w="80" w:type="dxa"/>
            <w:vAlign w:val="bottom"/>
            <w:shd w:val="clear" w:color="auto" w:fill="CFF0FC"/>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1390"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260"/>
          </w:cols>
          <w:pgMar w:left="220" w:top="304" w:right="419" w:bottom="1440" w:gutter="0" w:footer="0" w:header="0"/>
        </w:sectPr>
      </w:pPr>
    </w:p>
    <w:bookmarkStart w:id="16" w:name="page17"/>
    <w:bookmarkEnd w:id="16"/>
    <w:p>
      <w:pPr>
        <w:spacing w:after="0"/>
        <w:rPr>
          <w:sz w:val="20"/>
          <w:szCs w:val="20"/>
          <w:color w:val="auto"/>
        </w:rPr>
      </w:pPr>
      <w:r>
        <w:rPr>
          <w:rFonts w:ascii="Arial" w:cs="Arial" w:eastAsia="Arial" w:hAnsi="Arial"/>
          <w:sz w:val="15"/>
          <w:szCs w:val="15"/>
          <w:b w:val="1"/>
          <w:bCs w:val="1"/>
          <w:color w:val="auto"/>
        </w:rPr>
        <w:t>8. Intangible Assets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5"/>
          <w:szCs w:val="15"/>
          <w:color w:val="auto"/>
        </w:rPr>
        <w:t>Intangible assets as of March 31, 2018 and December 31, 2017 consist of the following:</w:t>
      </w:r>
    </w:p>
    <w:tbl>
      <w:tblPr>
        <w:tblLayout w:type="fixed"/>
        <w:tblInd w:w="580" w:type="dxa"/>
        <w:tblCellMar>
          <w:top w:w="0" w:type="dxa"/>
          <w:left w:w="0" w:type="dxa"/>
          <w:bottom w:w="0" w:type="dxa"/>
          <w:right w:w="0" w:type="dxa"/>
        </w:tblCellMar>
      </w:tblPr>
      <w:tr>
        <w:trPr>
          <w:trHeight w:val="128"/>
        </w:trPr>
        <w:tc>
          <w:tcPr>
            <w:tcW w:w="6000" w:type="dxa"/>
            <w:vAlign w:val="bottom"/>
          </w:tcPr>
          <w:p>
            <w:pPr>
              <w:spacing w:after="0"/>
              <w:rPr>
                <w:sz w:val="11"/>
                <w:szCs w:val="11"/>
                <w:color w:val="auto"/>
              </w:rPr>
            </w:pPr>
          </w:p>
        </w:tc>
        <w:tc>
          <w:tcPr>
            <w:tcW w:w="13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Weighted</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6000" w:type="dxa"/>
            <w:vAlign w:val="bottom"/>
          </w:tcPr>
          <w:p>
            <w:pPr>
              <w:spacing w:after="0"/>
              <w:rPr>
                <w:sz w:val="10"/>
                <w:szCs w:val="10"/>
                <w:color w:val="auto"/>
              </w:rPr>
            </w:pPr>
          </w:p>
        </w:tc>
        <w:tc>
          <w:tcPr>
            <w:tcW w:w="138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84"/>
              </w:rPr>
              <w:t>Average</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000" w:type="dxa"/>
            <w:vAlign w:val="bottom"/>
          </w:tcPr>
          <w:p>
            <w:pPr>
              <w:spacing w:after="0"/>
              <w:rPr>
                <w:sz w:val="10"/>
                <w:szCs w:val="10"/>
                <w:color w:val="auto"/>
              </w:rPr>
            </w:pPr>
          </w:p>
        </w:tc>
        <w:tc>
          <w:tcPr>
            <w:tcW w:w="138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87"/>
              </w:rPr>
              <w:t>Remaining</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tcPr>
          <w:p>
            <w:pPr>
              <w:jc w:val="right"/>
              <w:ind w:right="500"/>
              <w:spacing w:after="0" w:line="121" w:lineRule="exact"/>
              <w:rPr>
                <w:sz w:val="20"/>
                <w:szCs w:val="20"/>
                <w:color w:val="auto"/>
              </w:rPr>
            </w:pPr>
            <w:r>
              <w:rPr>
                <w:rFonts w:ascii="Arial" w:cs="Arial" w:eastAsia="Arial" w:hAnsi="Arial"/>
                <w:sz w:val="12"/>
                <w:szCs w:val="12"/>
                <w:b w:val="1"/>
                <w:bCs w:val="1"/>
                <w:color w:val="auto"/>
              </w:rPr>
              <w:t>March 31,</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gridSpan w:val="2"/>
          </w:tcPr>
          <w:p>
            <w:pPr>
              <w:jc w:val="right"/>
              <w:ind w:right="360"/>
              <w:spacing w:after="0" w:line="121" w:lineRule="exact"/>
              <w:rPr>
                <w:sz w:val="20"/>
                <w:szCs w:val="20"/>
                <w:color w:val="auto"/>
              </w:rPr>
            </w:pPr>
            <w:r>
              <w:rPr>
                <w:rFonts w:ascii="Arial" w:cs="Arial" w:eastAsia="Arial" w:hAnsi="Arial"/>
                <w:sz w:val="12"/>
                <w:szCs w:val="12"/>
                <w:b w:val="1"/>
                <w:bCs w:val="1"/>
                <w:color w:val="auto"/>
                <w:w w:val="84"/>
              </w:rPr>
              <w:t>December 31,</w:t>
            </w:r>
          </w:p>
        </w:tc>
        <w:tc>
          <w:tcPr>
            <w:tcW w:w="0" w:type="dxa"/>
            <w:vAlign w:val="bottom"/>
          </w:tcPr>
          <w:p>
            <w:pPr>
              <w:spacing w:after="0"/>
              <w:rPr>
                <w:sz w:val="1"/>
                <w:szCs w:val="1"/>
                <w:color w:val="auto"/>
              </w:rPr>
            </w:pPr>
          </w:p>
        </w:tc>
      </w:tr>
      <w:tr>
        <w:trPr>
          <w:trHeight w:val="138"/>
        </w:trPr>
        <w:tc>
          <w:tcPr>
            <w:tcW w:w="6000" w:type="dxa"/>
            <w:vAlign w:val="bottom"/>
          </w:tcPr>
          <w:p>
            <w:pPr>
              <w:spacing w:after="0"/>
              <w:rPr>
                <w:sz w:val="12"/>
                <w:szCs w:val="12"/>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Useful Life</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2"/>
                <w:szCs w:val="12"/>
                <w:b w:val="1"/>
                <w:bCs w:val="1"/>
                <w:color w:val="auto"/>
              </w:rPr>
              <w:t>2018</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12"/>
                <w:szCs w:val="12"/>
                <w:b w:val="1"/>
                <w:bCs w:val="1"/>
                <w:color w:val="auto"/>
              </w:rPr>
              <w:t>2017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0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4"/>
          </w:tcPr>
          <w:p>
            <w:pPr>
              <w:jc w:val="right"/>
              <w:spacing w:after="0"/>
              <w:rPr>
                <w:sz w:val="20"/>
                <w:szCs w:val="20"/>
                <w:color w:val="auto"/>
              </w:rPr>
            </w:pPr>
            <w:r>
              <w:rPr>
                <w:rFonts w:ascii="Arial" w:cs="Arial" w:eastAsia="Arial" w:hAnsi="Arial"/>
                <w:sz w:val="12"/>
                <w:szCs w:val="12"/>
                <w:b w:val="1"/>
                <w:bCs w:val="1"/>
                <w:color w:val="auto"/>
              </w:rPr>
              <w:t>(in thousands)</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00" w:type="dxa"/>
            <w:vAlign w:val="bottom"/>
          </w:tcPr>
          <w:p>
            <w:pPr>
              <w:spacing w:after="0"/>
              <w:rPr>
                <w:sz w:val="20"/>
                <w:szCs w:val="20"/>
                <w:color w:val="auto"/>
              </w:rPr>
            </w:pPr>
            <w:r>
              <w:rPr>
                <w:rFonts w:ascii="Arial" w:cs="Arial" w:eastAsia="Arial" w:hAnsi="Arial"/>
                <w:sz w:val="15"/>
                <w:szCs w:val="15"/>
                <w:color w:val="auto"/>
              </w:rPr>
              <w:t>Acquired technology</w:t>
            </w:r>
          </w:p>
        </w:tc>
        <w:tc>
          <w:tcPr>
            <w:tcW w:w="1380" w:type="dxa"/>
            <w:vAlign w:val="bottom"/>
          </w:tcPr>
          <w:p>
            <w:pPr>
              <w:jc w:val="center"/>
              <w:spacing w:after="0"/>
              <w:rPr>
                <w:sz w:val="20"/>
                <w:szCs w:val="20"/>
                <w:color w:val="auto"/>
              </w:rPr>
            </w:pPr>
            <w:r>
              <w:rPr>
                <w:rFonts w:ascii="Arial" w:cs="Arial" w:eastAsia="Arial" w:hAnsi="Arial"/>
                <w:sz w:val="15"/>
                <w:szCs w:val="15"/>
                <w:color w:val="auto"/>
                <w:w w:val="91"/>
              </w:rPr>
              <w:t>16 Months</w:t>
            </w:r>
          </w:p>
        </w:tc>
        <w:tc>
          <w:tcPr>
            <w:tcW w:w="4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7,252</w:t>
            </w:r>
          </w:p>
        </w:tc>
        <w:tc>
          <w:tcPr>
            <w:tcW w:w="1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7,252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00" w:type="dxa"/>
            <w:vAlign w:val="bottom"/>
            <w:shd w:val="clear" w:color="auto" w:fill="CFF0FC"/>
          </w:tcPr>
          <w:p>
            <w:pPr>
              <w:spacing w:after="0"/>
              <w:rPr>
                <w:sz w:val="20"/>
                <w:szCs w:val="20"/>
                <w:color w:val="auto"/>
              </w:rPr>
            </w:pPr>
            <w:r>
              <w:rPr>
                <w:rFonts w:ascii="Arial" w:cs="Arial" w:eastAsia="Arial" w:hAnsi="Arial"/>
                <w:sz w:val="15"/>
                <w:szCs w:val="15"/>
                <w:color w:val="auto"/>
              </w:rPr>
              <w:t>Acquired intellectual property</w:t>
            </w:r>
          </w:p>
        </w:tc>
        <w:tc>
          <w:tcPr>
            <w:tcW w:w="1380" w:type="dxa"/>
            <w:vAlign w:val="bottom"/>
            <w:shd w:val="clear" w:color="auto" w:fill="CFF0FC"/>
          </w:tcPr>
          <w:p>
            <w:pPr>
              <w:ind w:left="6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80</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000" w:type="dxa"/>
            <w:vAlign w:val="bottom"/>
          </w:tcPr>
          <w:p>
            <w:pPr>
              <w:spacing w:after="0"/>
              <w:rPr>
                <w:sz w:val="20"/>
                <w:szCs w:val="20"/>
                <w:color w:val="auto"/>
              </w:rPr>
            </w:pPr>
            <w:r>
              <w:rPr>
                <w:rFonts w:ascii="Arial" w:cs="Arial" w:eastAsia="Arial" w:hAnsi="Arial"/>
                <w:sz w:val="15"/>
                <w:szCs w:val="15"/>
                <w:color w:val="auto"/>
              </w:rPr>
              <w:t>Accumulated amortization</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(1,070)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5"/>
                <w:szCs w:val="15"/>
                <w:color w:val="auto"/>
              </w:rPr>
              <w:t>(1,020)</w:t>
            </w:r>
          </w:p>
        </w:tc>
        <w:tc>
          <w:tcPr>
            <w:tcW w:w="0" w:type="dxa"/>
            <w:vAlign w:val="bottom"/>
          </w:tcPr>
          <w:p>
            <w:pPr>
              <w:spacing w:after="0"/>
              <w:rPr>
                <w:sz w:val="1"/>
                <w:szCs w:val="1"/>
                <w:color w:val="auto"/>
              </w:rPr>
            </w:pPr>
          </w:p>
        </w:tc>
      </w:tr>
      <w:tr>
        <w:trPr>
          <w:trHeight w:val="20"/>
        </w:trPr>
        <w:tc>
          <w:tcPr>
            <w:tcW w:w="600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Total</w:t>
            </w:r>
          </w:p>
        </w:tc>
        <w:tc>
          <w:tcPr>
            <w:tcW w:w="13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00" w:type="dxa"/>
            <w:vAlign w:val="bottom"/>
            <w:vMerge w:val="continue"/>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6,262</w:t>
            </w:r>
          </w:p>
        </w:tc>
        <w:tc>
          <w:tcPr>
            <w:tcW w:w="14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6,312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right="200" w:firstLine="520"/>
        <w:spacing w:after="0" w:line="263" w:lineRule="auto"/>
        <w:rPr>
          <w:sz w:val="20"/>
          <w:szCs w:val="20"/>
          <w:color w:val="auto"/>
        </w:rPr>
      </w:pPr>
      <w:r>
        <w:rPr>
          <w:rFonts w:ascii="Arial" w:cs="Arial" w:eastAsia="Arial" w:hAnsi="Arial"/>
          <w:sz w:val="15"/>
          <w:szCs w:val="15"/>
          <w:color w:val="auto"/>
        </w:rPr>
        <w:t>The estimated useful life of acquired technology and intellectual property is two to three years. The Company evaluates the useful lives of these assets on an annual basis and tests for impairment whenever events or changes in circumstances occur that could impact the recoverability of these assets.</w:t>
      </w:r>
    </w:p>
    <w:p>
      <w:pPr>
        <w:spacing w:after="0" w:line="149" w:lineRule="exact"/>
        <w:rPr>
          <w:sz w:val="20"/>
          <w:szCs w:val="20"/>
          <w:color w:val="auto"/>
        </w:rPr>
      </w:pPr>
    </w:p>
    <w:p>
      <w:pPr>
        <w:ind w:firstLine="520"/>
        <w:spacing w:after="0" w:line="253" w:lineRule="auto"/>
        <w:rPr>
          <w:sz w:val="20"/>
          <w:szCs w:val="20"/>
          <w:color w:val="auto"/>
        </w:rPr>
      </w:pPr>
      <w:r>
        <w:rPr>
          <w:rFonts w:ascii="Arial" w:cs="Arial" w:eastAsia="Arial" w:hAnsi="Arial"/>
          <w:sz w:val="15"/>
          <w:szCs w:val="15"/>
          <w:color w:val="auto"/>
        </w:rPr>
        <w:t>Amortization expense related to intangible assets was $50 thousand in three months ended March 31, 2018, and $16 thousand in three months ended March 31, 2017. Amortization expense of acquired technology is included in cost of subscription revenue in the consolidated statements of operations. Amortization expense of acquired intellectual property is included in sales and marketing expense in the consolidated statements of operations.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5"/>
          <w:szCs w:val="15"/>
          <w:color w:val="auto"/>
        </w:rPr>
        <w:t>Estimated future amortization expense for intangible assets, currently being amortized, as of March 31, 2018 is as follows:</w:t>
      </w:r>
    </w:p>
    <w:tbl>
      <w:tblPr>
        <w:tblLayout w:type="fixed"/>
        <w:tblInd w:w="2880" w:type="dxa"/>
        <w:tblCellMar>
          <w:top w:w="0" w:type="dxa"/>
          <w:left w:w="0" w:type="dxa"/>
          <w:bottom w:w="0" w:type="dxa"/>
          <w:right w:w="0" w:type="dxa"/>
        </w:tblCellMar>
      </w:tblPr>
      <w:tr>
        <w:trPr>
          <w:trHeight w:val="128"/>
        </w:trPr>
        <w:tc>
          <w:tcPr>
            <w:tcW w:w="45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Years ended</w:t>
            </w:r>
          </w:p>
        </w:tc>
        <w:tc>
          <w:tcPr>
            <w:tcW w:w="140" w:type="dxa"/>
            <w:vAlign w:val="bottom"/>
          </w:tcPr>
          <w:p>
            <w:pPr>
              <w:spacing w:after="0"/>
              <w:rPr>
                <w:sz w:val="11"/>
                <w:szCs w:val="11"/>
                <w:color w:val="auto"/>
              </w:rPr>
            </w:pPr>
          </w:p>
        </w:tc>
        <w:tc>
          <w:tcPr>
            <w:tcW w:w="1020" w:type="dxa"/>
            <w:vAlign w:val="bottom"/>
            <w:gridSpan w:val="2"/>
          </w:tcPr>
          <w:p>
            <w:pPr>
              <w:jc w:val="center"/>
              <w:ind w:right="200"/>
              <w:spacing w:after="0" w:line="128" w:lineRule="exact"/>
              <w:rPr>
                <w:sz w:val="20"/>
                <w:szCs w:val="20"/>
                <w:color w:val="auto"/>
              </w:rPr>
            </w:pPr>
            <w:r>
              <w:rPr>
                <w:rFonts w:ascii="Arial" w:cs="Arial" w:eastAsia="Arial" w:hAnsi="Arial"/>
                <w:sz w:val="12"/>
                <w:szCs w:val="12"/>
                <w:b w:val="1"/>
                <w:bCs w:val="1"/>
                <w:color w:val="auto"/>
                <w:w w:val="89"/>
              </w:rPr>
              <w:t>Amortization</w:t>
            </w:r>
          </w:p>
        </w:tc>
      </w:tr>
      <w:tr>
        <w:trPr>
          <w:trHeight w:val="138"/>
        </w:trPr>
        <w:tc>
          <w:tcPr>
            <w:tcW w:w="4560" w:type="dxa"/>
            <w:vAlign w:val="bottom"/>
            <w:gridSpan w:val="2"/>
          </w:tcPr>
          <w:p>
            <w:pPr>
              <w:spacing w:after="0"/>
              <w:rPr>
                <w:sz w:val="20"/>
                <w:szCs w:val="20"/>
                <w:color w:val="auto"/>
              </w:rPr>
            </w:pPr>
            <w:r>
              <w:rPr>
                <w:rFonts w:ascii="Arial" w:cs="Arial" w:eastAsia="Arial" w:hAnsi="Arial"/>
                <w:sz w:val="12"/>
                <w:szCs w:val="12"/>
                <w:b w:val="1"/>
                <w:bCs w:val="1"/>
                <w:color w:val="auto"/>
              </w:rPr>
              <w:t>December 31,</w:t>
            </w:r>
          </w:p>
        </w:tc>
        <w:tc>
          <w:tcPr>
            <w:tcW w:w="14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4"/>
              </w:rPr>
              <w:t>Expense</w:t>
            </w:r>
          </w:p>
        </w:tc>
      </w:tr>
      <w:tr>
        <w:trPr>
          <w:trHeight w:val="134"/>
        </w:trPr>
        <w:tc>
          <w:tcPr>
            <w:tcW w:w="4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74"/>
              <w:spacing w:after="0" w:line="134" w:lineRule="exact"/>
              <w:rPr>
                <w:sz w:val="20"/>
                <w:szCs w:val="20"/>
                <w:color w:val="auto"/>
              </w:rPr>
            </w:pPr>
            <w:r>
              <w:rPr>
                <w:rFonts w:ascii="Arial" w:cs="Arial" w:eastAsia="Arial" w:hAnsi="Arial"/>
                <w:sz w:val="12"/>
                <w:szCs w:val="12"/>
                <w:b w:val="1"/>
                <w:bCs w:val="1"/>
                <w:color w:val="auto"/>
                <w:w w:val="84"/>
              </w:rPr>
              <w:t>(in thousands)</w:t>
            </w:r>
          </w:p>
        </w:tc>
        <w:tc>
          <w:tcPr>
            <w:tcW w:w="60" w:type="dxa"/>
            <w:vAlign w:val="bottom"/>
          </w:tcPr>
          <w:p>
            <w:pPr>
              <w:spacing w:after="0"/>
              <w:rPr>
                <w:sz w:val="11"/>
                <w:szCs w:val="11"/>
                <w:color w:val="auto"/>
              </w:rPr>
            </w:pPr>
          </w:p>
        </w:tc>
      </w:tr>
      <w:tr>
        <w:trPr>
          <w:trHeight w:val="186"/>
        </w:trPr>
        <w:tc>
          <w:tcPr>
            <w:tcW w:w="4460" w:type="dxa"/>
            <w:vAlign w:val="bottom"/>
          </w:tcPr>
          <w:p>
            <w:pPr>
              <w:spacing w:after="0"/>
              <w:rPr>
                <w:sz w:val="20"/>
                <w:szCs w:val="20"/>
                <w:color w:val="auto"/>
              </w:rPr>
            </w:pPr>
            <w:r>
              <w:rPr>
                <w:rFonts w:ascii="Arial" w:cs="Arial" w:eastAsia="Arial" w:hAnsi="Arial"/>
                <w:sz w:val="15"/>
                <w:szCs w:val="15"/>
                <w:color w:val="auto"/>
              </w:rPr>
              <w:t>2018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150</w:t>
            </w:r>
          </w:p>
        </w:tc>
        <w:tc>
          <w:tcPr>
            <w:tcW w:w="60" w:type="dxa"/>
            <w:vAlign w:val="bottom"/>
          </w:tcPr>
          <w:p>
            <w:pPr>
              <w:spacing w:after="0"/>
              <w:rPr>
                <w:sz w:val="16"/>
                <w:szCs w:val="16"/>
                <w:color w:val="auto"/>
              </w:rPr>
            </w:pPr>
          </w:p>
        </w:tc>
      </w:tr>
      <w:tr>
        <w:trPr>
          <w:trHeight w:val="197"/>
        </w:trPr>
        <w:tc>
          <w:tcPr>
            <w:tcW w:w="4460" w:type="dxa"/>
            <w:vAlign w:val="bottom"/>
            <w:shd w:val="clear" w:color="auto" w:fill="CFF0FC"/>
          </w:tcPr>
          <w:p>
            <w:pPr>
              <w:spacing w:after="0"/>
              <w:rPr>
                <w:sz w:val="20"/>
                <w:szCs w:val="20"/>
                <w:color w:val="auto"/>
              </w:rPr>
            </w:pPr>
            <w:r>
              <w:rPr>
                <w:rFonts w:ascii="Arial" w:cs="Arial" w:eastAsia="Arial" w:hAnsi="Arial"/>
                <w:sz w:val="15"/>
                <w:szCs w:val="15"/>
                <w:color w:val="auto"/>
              </w:rPr>
              <w:t>2019</w:t>
            </w:r>
          </w:p>
        </w:tc>
        <w:tc>
          <w:tcPr>
            <w:tcW w:w="1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112</w:t>
            </w:r>
          </w:p>
        </w:tc>
        <w:tc>
          <w:tcPr>
            <w:tcW w:w="60" w:type="dxa"/>
            <w:vAlign w:val="bottom"/>
            <w:shd w:val="clear" w:color="auto" w:fill="CFF0FC"/>
          </w:tcPr>
          <w:p>
            <w:pPr>
              <w:spacing w:after="0"/>
              <w:rPr>
                <w:sz w:val="17"/>
                <w:szCs w:val="17"/>
                <w:color w:val="auto"/>
              </w:rPr>
            </w:pPr>
          </w:p>
        </w:tc>
      </w:tr>
      <w:tr>
        <w:trPr>
          <w:trHeight w:val="188"/>
        </w:trPr>
        <w:tc>
          <w:tcPr>
            <w:tcW w:w="4560" w:type="dxa"/>
            <w:vAlign w:val="bottom"/>
            <w:gridSpan w:val="2"/>
          </w:tcPr>
          <w:p>
            <w:pPr>
              <w:spacing w:after="0"/>
              <w:rPr>
                <w:sz w:val="20"/>
                <w:szCs w:val="20"/>
                <w:color w:val="auto"/>
              </w:rPr>
            </w:pPr>
            <w:r>
              <w:rPr>
                <w:rFonts w:ascii="Arial" w:cs="Arial" w:eastAsia="Arial" w:hAnsi="Arial"/>
                <w:sz w:val="15"/>
                <w:szCs w:val="15"/>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262</w:t>
            </w:r>
          </w:p>
        </w:tc>
        <w:tc>
          <w:tcPr>
            <w:tcW w:w="60" w:type="dxa"/>
            <w:vAlign w:val="bottom"/>
          </w:tcPr>
          <w:p>
            <w:pPr>
              <w:spacing w:after="0"/>
              <w:rPr>
                <w:sz w:val="16"/>
                <w:szCs w:val="16"/>
                <w:color w:val="auto"/>
              </w:rPr>
            </w:pPr>
          </w:p>
        </w:tc>
      </w:tr>
      <w:tr>
        <w:trPr>
          <w:trHeight w:val="20"/>
        </w:trPr>
        <w:tc>
          <w:tcPr>
            <w:tcW w:w="4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0" w:lineRule="exact"/>
        <w:rPr>
          <w:sz w:val="20"/>
          <w:szCs w:val="20"/>
          <w:color w:val="auto"/>
        </w:rPr>
      </w:pPr>
    </w:p>
    <w:p>
      <w:pPr>
        <w:ind w:right="100" w:firstLine="764"/>
        <w:spacing w:after="0" w:line="299" w:lineRule="auto"/>
        <w:rPr>
          <w:sz w:val="20"/>
          <w:szCs w:val="20"/>
          <w:color w:val="auto"/>
        </w:rPr>
      </w:pPr>
      <w:r>
        <w:rPr>
          <w:rFonts w:ascii="Arial" w:cs="Arial" w:eastAsia="Arial" w:hAnsi="Arial"/>
          <w:sz w:val="14"/>
          <w:szCs w:val="14"/>
          <w:color w:val="auto"/>
        </w:rPr>
        <w:t>The estimated amortization does not include the amortization of the $6.0 million of acquired technology from the acquisition of Motion AI, Inc. as the intangible asset has not been placed into service as of March 31, 2018. The Company expects that the acquired technology will be placed into service during 2018 and will be amortized through 2020.</w:t>
      </w: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9. 0.25% Convertible Senior Notes, Convertible Note Hedge and Warrant</w:t>
      </w:r>
    </w:p>
    <w:p>
      <w:pPr>
        <w:spacing w:after="0" w:line="183" w:lineRule="exact"/>
        <w:rPr>
          <w:sz w:val="20"/>
          <w:szCs w:val="20"/>
          <w:color w:val="auto"/>
        </w:rPr>
      </w:pPr>
    </w:p>
    <w:p>
      <w:pPr>
        <w:ind w:right="260" w:firstLine="680"/>
        <w:spacing w:after="0" w:line="263" w:lineRule="auto"/>
        <w:rPr>
          <w:sz w:val="20"/>
          <w:szCs w:val="20"/>
          <w:color w:val="auto"/>
        </w:rPr>
      </w:pPr>
      <w:r>
        <w:rPr>
          <w:rFonts w:ascii="Arial" w:cs="Arial" w:eastAsia="Arial" w:hAnsi="Arial"/>
          <w:sz w:val="15"/>
          <w:szCs w:val="15"/>
          <w:color w:val="auto"/>
        </w:rPr>
        <w:t>In May 2017, the Company issued $350 million aggregate principal amount of 0.25% convertible senior notes due June 1, 2022 in a private offering and an additional $50 million aggregate principal amount of such notes pursuant to the exercise in full of the over-allotment options of the initial purchasers (the “2022 Notes”).</w:t>
      </w:r>
    </w:p>
    <w:p>
      <w:pPr>
        <w:spacing w:after="0" w:line="149" w:lineRule="exact"/>
        <w:rPr>
          <w:sz w:val="20"/>
          <w:szCs w:val="20"/>
          <w:color w:val="auto"/>
        </w:rPr>
      </w:pPr>
    </w:p>
    <w:p>
      <w:pPr>
        <w:ind w:left="680"/>
        <w:spacing w:after="0"/>
        <w:rPr>
          <w:sz w:val="20"/>
          <w:szCs w:val="20"/>
          <w:color w:val="auto"/>
        </w:rPr>
      </w:pPr>
      <w:r>
        <w:rPr>
          <w:rFonts w:ascii="Arial" w:cs="Arial" w:eastAsia="Arial" w:hAnsi="Arial"/>
          <w:sz w:val="15"/>
          <w:szCs w:val="15"/>
          <w:color w:val="auto"/>
        </w:rPr>
        <w:t>The net carrying amount of the liability component of the 2022 Notes is as follows:</w:t>
      </w:r>
    </w:p>
    <w:p>
      <w:pPr>
        <w:spacing w:after="0" w:line="238" w:lineRule="exact"/>
        <w:rPr>
          <w:sz w:val="20"/>
          <w:szCs w:val="20"/>
          <w:color w:val="auto"/>
        </w:rPr>
      </w:pPr>
    </w:p>
    <w:tbl>
      <w:tblPr>
        <w:tblLayout w:type="fixed"/>
        <w:tblInd w:w="1740" w:type="dxa"/>
        <w:tblCellMar>
          <w:top w:w="0" w:type="dxa"/>
          <w:left w:w="0" w:type="dxa"/>
          <w:bottom w:w="0" w:type="dxa"/>
          <w:right w:w="0" w:type="dxa"/>
        </w:tblCellMar>
      </w:tblPr>
      <w:tr>
        <w:trPr>
          <w:trHeight w:val="138"/>
        </w:trPr>
        <w:tc>
          <w:tcPr>
            <w:tcW w:w="4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20" w:type="dxa"/>
            <w:vAlign w:val="bottom"/>
            <w:gridSpan w:val="2"/>
          </w:tcPr>
          <w:p>
            <w:pPr>
              <w:jc w:val="right"/>
              <w:ind w:right="680"/>
              <w:spacing w:after="0"/>
              <w:rPr>
                <w:sz w:val="20"/>
                <w:szCs w:val="20"/>
                <w:color w:val="auto"/>
              </w:rPr>
            </w:pPr>
            <w:r>
              <w:rPr>
                <w:rFonts w:ascii="Arial" w:cs="Arial" w:eastAsia="Arial" w:hAnsi="Arial"/>
                <w:sz w:val="12"/>
                <w:szCs w:val="12"/>
                <w:b w:val="1"/>
                <w:bCs w:val="1"/>
                <w:color w:val="auto"/>
              </w:rPr>
              <w:t>As of March 31, 2018</w:t>
            </w:r>
          </w:p>
        </w:tc>
        <w:tc>
          <w:tcPr>
            <w:tcW w:w="100" w:type="dxa"/>
            <w:vAlign w:val="bottom"/>
          </w:tcPr>
          <w:p>
            <w:pPr>
              <w:spacing w:after="0"/>
              <w:rPr>
                <w:sz w:val="12"/>
                <w:szCs w:val="1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87"/>
              </w:rPr>
              <w:t>As of December 31, 2017</w:t>
            </w:r>
          </w:p>
        </w:tc>
      </w:tr>
      <w:tr>
        <w:trPr>
          <w:trHeight w:val="177"/>
        </w:trPr>
        <w:tc>
          <w:tcPr>
            <w:tcW w:w="424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9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2"/>
                <w:szCs w:val="12"/>
                <w:b w:val="1"/>
                <w:bCs w:val="1"/>
                <w:color w:val="auto"/>
              </w:rPr>
              <w:t>(in thousands)</w:t>
            </w:r>
          </w:p>
        </w:tc>
        <w:tc>
          <w:tcPr>
            <w:tcW w:w="100" w:type="dxa"/>
            <w:vAlign w:val="bottom"/>
            <w:tcBorders>
              <w:top w:val="single" w:sz="8" w:color="auto"/>
            </w:tcBorders>
            <w:shd w:val="clear" w:color="auto" w:fill="CFF0FC"/>
          </w:tcPr>
          <w:p>
            <w:pPr>
              <w:spacing w:after="0"/>
              <w:rPr>
                <w:sz w:val="15"/>
                <w:szCs w:val="15"/>
                <w:color w:val="auto"/>
              </w:rPr>
            </w:pPr>
          </w:p>
        </w:tc>
        <w:tc>
          <w:tcPr>
            <w:tcW w:w="140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r>
      <w:tr>
        <w:trPr>
          <w:trHeight w:val="186"/>
        </w:trPr>
        <w:tc>
          <w:tcPr>
            <w:tcW w:w="4240" w:type="dxa"/>
            <w:vAlign w:val="bottom"/>
          </w:tcPr>
          <w:p>
            <w:pPr>
              <w:spacing w:after="0"/>
              <w:rPr>
                <w:sz w:val="20"/>
                <w:szCs w:val="20"/>
                <w:color w:val="auto"/>
              </w:rPr>
            </w:pPr>
            <w:r>
              <w:rPr>
                <w:rFonts w:ascii="Arial" w:cs="Arial" w:eastAsia="Arial" w:hAnsi="Arial"/>
                <w:sz w:val="15"/>
                <w:szCs w:val="15"/>
                <w:color w:val="auto"/>
              </w:rPr>
              <w:t>Principal</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5"/>
                <w:szCs w:val="15"/>
                <w:color w:val="auto"/>
              </w:rPr>
              <w:t>400,000</w:t>
            </w:r>
          </w:p>
        </w:tc>
        <w:tc>
          <w:tcPr>
            <w:tcW w:w="2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400,000</w:t>
            </w:r>
          </w:p>
        </w:tc>
        <w:tc>
          <w:tcPr>
            <w:tcW w:w="80" w:type="dxa"/>
            <w:vAlign w:val="bottom"/>
          </w:tcPr>
          <w:p>
            <w:pPr>
              <w:spacing w:after="0"/>
              <w:rPr>
                <w:sz w:val="16"/>
                <w:szCs w:val="16"/>
                <w:color w:val="auto"/>
              </w:rPr>
            </w:pPr>
          </w:p>
        </w:tc>
      </w:tr>
      <w:tr>
        <w:trPr>
          <w:trHeight w:val="186"/>
        </w:trPr>
        <w:tc>
          <w:tcPr>
            <w:tcW w:w="4240" w:type="dxa"/>
            <w:vAlign w:val="bottom"/>
            <w:shd w:val="clear" w:color="auto" w:fill="CFF0FC"/>
          </w:tcPr>
          <w:p>
            <w:pPr>
              <w:spacing w:after="0"/>
              <w:rPr>
                <w:sz w:val="20"/>
                <w:szCs w:val="20"/>
                <w:color w:val="auto"/>
              </w:rPr>
            </w:pPr>
            <w:r>
              <w:rPr>
                <w:rFonts w:ascii="Arial" w:cs="Arial" w:eastAsia="Arial" w:hAnsi="Arial"/>
                <w:sz w:val="15"/>
                <w:szCs w:val="15"/>
                <w:color w:val="auto"/>
              </w:rPr>
              <w:t>Unamortized debt discount</w:t>
            </w:r>
          </w:p>
        </w:tc>
        <w:tc>
          <w:tcPr>
            <w:tcW w:w="260" w:type="dxa"/>
            <w:vAlign w:val="bottom"/>
            <w:shd w:val="clear" w:color="auto" w:fill="CFF0FC"/>
          </w:tcPr>
          <w:p>
            <w:pPr>
              <w:spacing w:after="0"/>
              <w:rPr>
                <w:sz w:val="16"/>
                <w:szCs w:val="16"/>
                <w:color w:val="auto"/>
              </w:rPr>
            </w:pPr>
          </w:p>
        </w:tc>
        <w:tc>
          <w:tcPr>
            <w:tcW w:w="19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(89,931)</w:t>
            </w:r>
          </w:p>
        </w:tc>
        <w:tc>
          <w:tcPr>
            <w:tcW w:w="10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(94,498)</w:t>
            </w:r>
          </w:p>
        </w:tc>
      </w:tr>
      <w:tr>
        <w:trPr>
          <w:trHeight w:val="186"/>
        </w:trPr>
        <w:tc>
          <w:tcPr>
            <w:tcW w:w="4240" w:type="dxa"/>
            <w:vAlign w:val="bottom"/>
          </w:tcPr>
          <w:p>
            <w:pPr>
              <w:spacing w:after="0"/>
              <w:rPr>
                <w:sz w:val="20"/>
                <w:szCs w:val="20"/>
                <w:color w:val="auto"/>
              </w:rPr>
            </w:pPr>
            <w:r>
              <w:rPr>
                <w:rFonts w:ascii="Arial" w:cs="Arial" w:eastAsia="Arial" w:hAnsi="Arial"/>
                <w:sz w:val="15"/>
                <w:szCs w:val="15"/>
                <w:color w:val="auto"/>
              </w:rPr>
              <w:t>Unamortized issuance costs</w:t>
            </w:r>
          </w:p>
        </w:tc>
        <w:tc>
          <w:tcPr>
            <w:tcW w:w="260" w:type="dxa"/>
            <w:vAlign w:val="bottom"/>
          </w:tcPr>
          <w:p>
            <w:pPr>
              <w:spacing w:after="0"/>
              <w:rPr>
                <w:sz w:val="16"/>
                <w:szCs w:val="16"/>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5"/>
                <w:szCs w:val="15"/>
                <w:color w:val="auto"/>
              </w:rPr>
              <w:t>(6,714)</w:t>
            </w:r>
          </w:p>
        </w:tc>
        <w:tc>
          <w:tcPr>
            <w:tcW w:w="100" w:type="dxa"/>
            <w:vAlign w:val="bottom"/>
          </w:tcPr>
          <w:p>
            <w:pPr>
              <w:spacing w:after="0"/>
              <w:rPr>
                <w:sz w:val="16"/>
                <w:szCs w:val="16"/>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5"/>
                <w:szCs w:val="15"/>
                <w:color w:val="auto"/>
              </w:rPr>
              <w:t>(7,055)</w:t>
            </w:r>
          </w:p>
        </w:tc>
      </w:tr>
      <w:tr>
        <w:trPr>
          <w:trHeight w:val="177"/>
        </w:trPr>
        <w:tc>
          <w:tcPr>
            <w:tcW w:w="4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5"/>
                <w:szCs w:val="15"/>
                <w:color w:val="auto"/>
              </w:rPr>
              <w:t>Net carrying amount</w:t>
            </w: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303,355</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298,447</w:t>
            </w: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r>
      <w:tr>
        <w:trPr>
          <w:trHeight w:val="20"/>
        </w:trPr>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1390"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380"/>
          </w:cols>
          <w:pgMar w:left="220" w:top="619" w:right="299" w:bottom="1440" w:gutter="0" w:footer="0" w:header="0"/>
        </w:sectPr>
      </w:pPr>
    </w:p>
    <w:bookmarkStart w:id="17" w:name="page18"/>
    <w:bookmarkEnd w:id="17"/>
    <w:p>
      <w:pPr>
        <w:ind w:left="680"/>
        <w:spacing w:after="0"/>
        <w:rPr>
          <w:sz w:val="20"/>
          <w:szCs w:val="20"/>
          <w:color w:val="auto"/>
        </w:rPr>
      </w:pPr>
      <w:r>
        <w:rPr>
          <w:rFonts w:ascii="Arial" w:cs="Arial" w:eastAsia="Arial" w:hAnsi="Arial"/>
          <w:sz w:val="15"/>
          <w:szCs w:val="15"/>
          <w:color w:val="auto"/>
        </w:rPr>
        <w:t>Interest expense related to the 2022 Notes is as follows:</w:t>
      </w:r>
    </w:p>
    <w:p>
      <w:pPr>
        <w:spacing w:after="0" w:line="238" w:lineRule="exact"/>
        <w:rPr>
          <w:sz w:val="20"/>
          <w:szCs w:val="20"/>
          <w:color w:val="auto"/>
        </w:rPr>
      </w:pPr>
    </w:p>
    <w:tbl>
      <w:tblPr>
        <w:tblLayout w:type="fixed"/>
        <w:tblInd w:w="1740" w:type="dxa"/>
        <w:tblCellMar>
          <w:top w:w="0" w:type="dxa"/>
          <w:left w:w="0" w:type="dxa"/>
          <w:bottom w:w="0" w:type="dxa"/>
          <w:right w:w="0" w:type="dxa"/>
        </w:tblCellMar>
      </w:tblPr>
      <w:tr>
        <w:trPr>
          <w:trHeight w:val="138"/>
        </w:trPr>
        <w:tc>
          <w:tcPr>
            <w:tcW w:w="432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90"/>
              </w:rPr>
              <w:t>Three Months Ended March 31,</w:t>
            </w:r>
          </w:p>
        </w:tc>
        <w:tc>
          <w:tcPr>
            <w:tcW w:w="9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88"/>
        </w:trPr>
        <w:tc>
          <w:tcPr>
            <w:tcW w:w="43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2018</w:t>
            </w:r>
          </w:p>
        </w:tc>
        <w:tc>
          <w:tcPr>
            <w:tcW w:w="7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2017</w:t>
            </w:r>
          </w:p>
        </w:tc>
        <w:tc>
          <w:tcPr>
            <w:tcW w:w="80" w:type="dxa"/>
            <w:vAlign w:val="bottom"/>
          </w:tcPr>
          <w:p>
            <w:pPr>
              <w:spacing w:after="0"/>
              <w:rPr>
                <w:sz w:val="16"/>
                <w:szCs w:val="16"/>
                <w:color w:val="auto"/>
              </w:rPr>
            </w:pPr>
          </w:p>
        </w:tc>
      </w:tr>
      <w:tr>
        <w:trPr>
          <w:trHeight w:val="177"/>
        </w:trPr>
        <w:tc>
          <w:tcPr>
            <w:tcW w:w="4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40" w:type="dxa"/>
            <w:vAlign w:val="bottom"/>
            <w:gridSpan w:val="3"/>
          </w:tcPr>
          <w:p>
            <w:pPr>
              <w:jc w:val="right"/>
              <w:ind w:right="407"/>
              <w:spacing w:after="0"/>
              <w:rPr>
                <w:sz w:val="20"/>
                <w:szCs w:val="20"/>
                <w:color w:val="auto"/>
              </w:rPr>
            </w:pPr>
            <w:r>
              <w:rPr>
                <w:rFonts w:ascii="Arial" w:cs="Arial" w:eastAsia="Arial" w:hAnsi="Arial"/>
                <w:sz w:val="12"/>
                <w:szCs w:val="12"/>
                <w:b w:val="1"/>
                <w:bCs w:val="1"/>
                <w:color w:val="auto"/>
              </w:rPr>
              <w:t>(in thousands)</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6"/>
        </w:trPr>
        <w:tc>
          <w:tcPr>
            <w:tcW w:w="4320" w:type="dxa"/>
            <w:vAlign w:val="bottom"/>
            <w:shd w:val="clear" w:color="auto" w:fill="CFF0FC"/>
          </w:tcPr>
          <w:p>
            <w:pPr>
              <w:spacing w:after="0"/>
              <w:rPr>
                <w:sz w:val="20"/>
                <w:szCs w:val="20"/>
                <w:color w:val="auto"/>
              </w:rPr>
            </w:pPr>
            <w:r>
              <w:rPr>
                <w:rFonts w:ascii="Arial" w:cs="Arial" w:eastAsia="Arial" w:hAnsi="Arial"/>
                <w:sz w:val="15"/>
                <w:szCs w:val="15"/>
                <w:color w:val="auto"/>
              </w:rPr>
              <w:t>Contractual interest expense</w:t>
            </w:r>
          </w:p>
        </w:tc>
        <w:tc>
          <w:tcPr>
            <w:tcW w:w="980" w:type="dxa"/>
            <w:vAlign w:val="bottom"/>
            <w:shd w:val="clear" w:color="auto" w:fill="CFF0FC"/>
          </w:tcPr>
          <w:p>
            <w:pPr>
              <w:jc w:val="right"/>
              <w:ind w:right="866"/>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250</w:t>
            </w: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ind w:left="820"/>
              <w:spacing w:after="0"/>
              <w:rPr>
                <w:sz w:val="20"/>
                <w:szCs w:val="20"/>
                <w:color w:val="auto"/>
              </w:rPr>
            </w:pPr>
            <w:r>
              <w:rPr>
                <w:rFonts w:ascii="Arial" w:cs="Arial" w:eastAsia="Arial" w:hAnsi="Arial"/>
                <w:sz w:val="15"/>
                <w:szCs w:val="15"/>
                <w:color w:val="auto"/>
              </w:rPr>
              <w:t>—</w:t>
            </w:r>
          </w:p>
        </w:tc>
      </w:tr>
      <w:tr>
        <w:trPr>
          <w:trHeight w:val="186"/>
        </w:trPr>
        <w:tc>
          <w:tcPr>
            <w:tcW w:w="4320" w:type="dxa"/>
            <w:vAlign w:val="bottom"/>
          </w:tcPr>
          <w:p>
            <w:pPr>
              <w:spacing w:after="0"/>
              <w:rPr>
                <w:sz w:val="20"/>
                <w:szCs w:val="20"/>
                <w:color w:val="auto"/>
              </w:rPr>
            </w:pPr>
            <w:r>
              <w:rPr>
                <w:rFonts w:ascii="Arial" w:cs="Arial" w:eastAsia="Arial" w:hAnsi="Arial"/>
                <w:sz w:val="15"/>
                <w:szCs w:val="15"/>
                <w:color w:val="auto"/>
              </w:rPr>
              <w:t>Amortization of debt discount</w:t>
            </w:r>
          </w:p>
        </w:tc>
        <w:tc>
          <w:tcPr>
            <w:tcW w:w="9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4,567</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gridSpan w:val="2"/>
          </w:tcPr>
          <w:p>
            <w:pPr>
              <w:ind w:left="820"/>
              <w:spacing w:after="0"/>
              <w:rPr>
                <w:sz w:val="20"/>
                <w:szCs w:val="20"/>
                <w:color w:val="auto"/>
              </w:rPr>
            </w:pPr>
            <w:r>
              <w:rPr>
                <w:rFonts w:ascii="Arial" w:cs="Arial" w:eastAsia="Arial" w:hAnsi="Arial"/>
                <w:sz w:val="15"/>
                <w:szCs w:val="15"/>
                <w:color w:val="auto"/>
              </w:rPr>
              <w:t>—</w:t>
            </w:r>
          </w:p>
        </w:tc>
      </w:tr>
      <w:tr>
        <w:trPr>
          <w:trHeight w:val="186"/>
        </w:trPr>
        <w:tc>
          <w:tcPr>
            <w:tcW w:w="4320" w:type="dxa"/>
            <w:vAlign w:val="bottom"/>
            <w:shd w:val="clear" w:color="auto" w:fill="CFF0FC"/>
          </w:tcPr>
          <w:p>
            <w:pPr>
              <w:spacing w:after="0"/>
              <w:rPr>
                <w:sz w:val="20"/>
                <w:szCs w:val="20"/>
                <w:color w:val="auto"/>
              </w:rPr>
            </w:pPr>
            <w:r>
              <w:rPr>
                <w:rFonts w:ascii="Arial" w:cs="Arial" w:eastAsia="Arial" w:hAnsi="Arial"/>
                <w:sz w:val="15"/>
                <w:szCs w:val="15"/>
                <w:color w:val="auto"/>
              </w:rPr>
              <w:t>Amortization of issuance costs</w:t>
            </w:r>
          </w:p>
        </w:tc>
        <w:tc>
          <w:tcPr>
            <w:tcW w:w="98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341</w:t>
            </w:r>
          </w:p>
        </w:tc>
        <w:tc>
          <w:tcPr>
            <w:tcW w:w="240" w:type="dxa"/>
            <w:vAlign w:val="bottom"/>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5"/>
                <w:szCs w:val="15"/>
                <w:color w:val="auto"/>
                <w:w w:val="93"/>
              </w:rPr>
              <w:t>—</w:t>
            </w:r>
          </w:p>
        </w:tc>
        <w:tc>
          <w:tcPr>
            <w:tcW w:w="80" w:type="dxa"/>
            <w:vAlign w:val="bottom"/>
            <w:shd w:val="clear" w:color="auto" w:fill="CFF0FC"/>
          </w:tcPr>
          <w:p>
            <w:pPr>
              <w:spacing w:after="0"/>
              <w:rPr>
                <w:sz w:val="16"/>
                <w:szCs w:val="16"/>
                <w:color w:val="auto"/>
              </w:rPr>
            </w:pPr>
          </w:p>
        </w:tc>
      </w:tr>
      <w:tr>
        <w:trPr>
          <w:trHeight w:val="177"/>
        </w:trPr>
        <w:tc>
          <w:tcPr>
            <w:tcW w:w="4320" w:type="dxa"/>
            <w:vAlign w:val="bottom"/>
          </w:tcPr>
          <w:p>
            <w:pPr>
              <w:spacing w:after="0"/>
              <w:rPr>
                <w:sz w:val="20"/>
                <w:szCs w:val="20"/>
                <w:color w:val="auto"/>
              </w:rPr>
            </w:pPr>
            <w:r>
              <w:rPr>
                <w:rFonts w:ascii="Arial" w:cs="Arial" w:eastAsia="Arial" w:hAnsi="Arial"/>
                <w:sz w:val="15"/>
                <w:szCs w:val="15"/>
                <w:color w:val="auto"/>
              </w:rPr>
              <w:t>Total interest expense</w:t>
            </w:r>
          </w:p>
        </w:tc>
        <w:tc>
          <w:tcPr>
            <w:tcW w:w="980" w:type="dxa"/>
            <w:vAlign w:val="bottom"/>
          </w:tcPr>
          <w:p>
            <w:pPr>
              <w:jc w:val="right"/>
              <w:ind w:right="866"/>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5,158</w:t>
            </w:r>
          </w:p>
        </w:tc>
        <w:tc>
          <w:tcPr>
            <w:tcW w:w="240" w:type="dxa"/>
            <w:vAlign w:val="bottom"/>
          </w:tcPr>
          <w:p>
            <w:pPr>
              <w:spacing w:after="0"/>
              <w:rPr>
                <w:sz w:val="15"/>
                <w:szCs w:val="15"/>
                <w:color w:val="auto"/>
              </w:rPr>
            </w:pPr>
          </w:p>
        </w:tc>
        <w:tc>
          <w:tcPr>
            <w:tcW w:w="680" w:type="dxa"/>
            <w:vAlign w:val="bottom"/>
          </w:tcPr>
          <w:p>
            <w:pPr>
              <w:jc w:val="right"/>
              <w:ind w:right="5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820"/>
              <w:spacing w:after="0"/>
              <w:rPr>
                <w:sz w:val="20"/>
                <w:szCs w:val="20"/>
                <w:color w:val="auto"/>
              </w:rPr>
            </w:pPr>
            <w:r>
              <w:rPr>
                <w:rFonts w:ascii="Arial" w:cs="Arial" w:eastAsia="Arial" w:hAnsi="Arial"/>
                <w:sz w:val="15"/>
                <w:szCs w:val="15"/>
                <w:color w:val="auto"/>
              </w:rPr>
              <w:t>—</w:t>
            </w:r>
          </w:p>
        </w:tc>
      </w:tr>
      <w:tr>
        <w:trPr>
          <w:trHeight w:val="20"/>
        </w:trPr>
        <w:tc>
          <w:tcPr>
            <w:tcW w:w="43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Commitments and Contingencies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Contractual Obligations</w:t>
      </w:r>
    </w:p>
    <w:p>
      <w:pPr>
        <w:spacing w:after="0" w:line="91" w:lineRule="exact"/>
        <w:rPr>
          <w:sz w:val="20"/>
          <w:szCs w:val="20"/>
          <w:color w:val="auto"/>
        </w:rPr>
      </w:pPr>
    </w:p>
    <w:p>
      <w:pPr>
        <w:ind w:right="160" w:firstLine="520"/>
        <w:spacing w:after="0" w:line="263" w:lineRule="auto"/>
        <w:rPr>
          <w:sz w:val="20"/>
          <w:szCs w:val="20"/>
          <w:color w:val="auto"/>
        </w:rPr>
      </w:pPr>
      <w:r>
        <w:rPr>
          <w:rFonts w:ascii="Arial" w:cs="Arial" w:eastAsia="Arial" w:hAnsi="Arial"/>
          <w:sz w:val="15"/>
          <w:szCs w:val="15"/>
          <w:color w:val="auto"/>
        </w:rPr>
        <w:t>The Company leases its office facilities under non-cancelable operating leases that expire at various dates through October 2027. Rent expense for non-cancellable operating leases with free rental periods or scheduled rent increases is recognized on a straight-line basis over the terms of the leases.</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5"/>
          <w:szCs w:val="15"/>
          <w:color w:val="auto"/>
        </w:rPr>
        <w:t>Future minimum payments under all operating lease agreements as of March 31, 2018 are as follows:</w:t>
      </w:r>
    </w:p>
    <w:p>
      <w:pPr>
        <w:spacing w:after="0" w:line="270" w:lineRule="exact"/>
        <w:rPr>
          <w:sz w:val="20"/>
          <w:szCs w:val="20"/>
          <w:color w:val="auto"/>
        </w:rPr>
      </w:pPr>
    </w:p>
    <w:tbl>
      <w:tblPr>
        <w:tblLayout w:type="fixed"/>
        <w:tblInd w:w="1740" w:type="dxa"/>
        <w:tblCellMar>
          <w:top w:w="0" w:type="dxa"/>
          <w:left w:w="0" w:type="dxa"/>
          <w:bottom w:w="0" w:type="dxa"/>
          <w:right w:w="0" w:type="dxa"/>
        </w:tblCellMar>
      </w:tblPr>
      <w:tr>
        <w:trPr>
          <w:trHeight w:val="138"/>
        </w:trPr>
        <w:tc>
          <w:tcPr>
            <w:tcW w:w="6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ind w:left="160"/>
              <w:spacing w:after="0"/>
              <w:rPr>
                <w:sz w:val="20"/>
                <w:szCs w:val="20"/>
                <w:color w:val="auto"/>
              </w:rPr>
            </w:pPr>
            <w:r>
              <w:rPr>
                <w:rFonts w:ascii="Arial" w:cs="Arial" w:eastAsia="Arial" w:hAnsi="Arial"/>
                <w:sz w:val="12"/>
                <w:szCs w:val="12"/>
                <w:b w:val="1"/>
                <w:bCs w:val="1"/>
                <w:color w:val="auto"/>
              </w:rPr>
              <w:t>Operating</w:t>
            </w:r>
          </w:p>
        </w:tc>
      </w:tr>
      <w:tr>
        <w:trPr>
          <w:trHeight w:val="123"/>
        </w:trPr>
        <w:tc>
          <w:tcPr>
            <w:tcW w:w="6580" w:type="dxa"/>
            <w:vAlign w:val="bottom"/>
          </w:tcPr>
          <w:p>
            <w:pPr>
              <w:spacing w:after="0"/>
              <w:rPr>
                <w:sz w:val="10"/>
                <w:szCs w:val="10"/>
                <w:color w:val="auto"/>
              </w:rPr>
            </w:pPr>
          </w:p>
        </w:tc>
        <w:tc>
          <w:tcPr>
            <w:tcW w:w="134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2"/>
                <w:szCs w:val="12"/>
                <w:b w:val="1"/>
                <w:bCs w:val="1"/>
                <w:color w:val="auto"/>
              </w:rPr>
              <w:t>(in thousands)</w:t>
            </w:r>
          </w:p>
        </w:tc>
        <w:tc>
          <w:tcPr>
            <w:tcW w:w="80" w:type="dxa"/>
            <w:vAlign w:val="bottom"/>
          </w:tcPr>
          <w:p>
            <w:pPr>
              <w:spacing w:after="0"/>
              <w:rPr>
                <w:sz w:val="10"/>
                <w:szCs w:val="10"/>
                <w:color w:val="auto"/>
              </w:rPr>
            </w:pPr>
          </w:p>
        </w:tc>
      </w:tr>
      <w:tr>
        <w:trPr>
          <w:trHeight w:val="186"/>
        </w:trPr>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2018</w:t>
            </w:r>
          </w:p>
        </w:tc>
        <w:tc>
          <w:tcPr>
            <w:tcW w:w="240" w:type="dxa"/>
            <w:vAlign w:val="bottom"/>
            <w:shd w:val="clear" w:color="auto" w:fill="CFF0FC"/>
          </w:tcPr>
          <w:p>
            <w:pPr>
              <w:spacing w:after="0"/>
              <w:rPr>
                <w:sz w:val="20"/>
                <w:szCs w:val="20"/>
                <w:color w:val="auto"/>
              </w:rPr>
            </w:pPr>
            <w:r>
              <w:rPr>
                <w:rFonts w:ascii="Arial" w:cs="Arial" w:eastAsia="Arial" w:hAnsi="Arial"/>
                <w:sz w:val="15"/>
                <w:szCs w:val="15"/>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15,754</w:t>
            </w:r>
          </w:p>
        </w:tc>
        <w:tc>
          <w:tcPr>
            <w:tcW w:w="80" w:type="dxa"/>
            <w:vAlign w:val="bottom"/>
            <w:shd w:val="clear" w:color="auto" w:fill="CFF0FC"/>
          </w:tcPr>
          <w:p>
            <w:pPr>
              <w:spacing w:after="0"/>
              <w:rPr>
                <w:sz w:val="16"/>
                <w:szCs w:val="16"/>
                <w:color w:val="auto"/>
              </w:rPr>
            </w:pPr>
          </w:p>
        </w:tc>
      </w:tr>
      <w:tr>
        <w:trPr>
          <w:trHeight w:val="186"/>
        </w:trPr>
        <w:tc>
          <w:tcPr>
            <w:tcW w:w="6580" w:type="dxa"/>
            <w:vAlign w:val="bottom"/>
          </w:tcPr>
          <w:p>
            <w:pPr>
              <w:spacing w:after="0"/>
              <w:rPr>
                <w:sz w:val="20"/>
                <w:szCs w:val="20"/>
                <w:color w:val="auto"/>
              </w:rPr>
            </w:pPr>
            <w:r>
              <w:rPr>
                <w:rFonts w:ascii="Arial" w:cs="Arial" w:eastAsia="Arial" w:hAnsi="Arial"/>
                <w:sz w:val="15"/>
                <w:szCs w:val="15"/>
                <w:color w:val="auto"/>
              </w:rPr>
              <w:t>2019</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22,179</w:t>
            </w:r>
          </w:p>
        </w:tc>
        <w:tc>
          <w:tcPr>
            <w:tcW w:w="80" w:type="dxa"/>
            <w:vAlign w:val="bottom"/>
          </w:tcPr>
          <w:p>
            <w:pPr>
              <w:spacing w:after="0"/>
              <w:rPr>
                <w:sz w:val="16"/>
                <w:szCs w:val="16"/>
                <w:color w:val="auto"/>
              </w:rPr>
            </w:pPr>
          </w:p>
        </w:tc>
      </w:tr>
      <w:tr>
        <w:trPr>
          <w:trHeight w:val="186"/>
        </w:trPr>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2020</w:t>
            </w:r>
          </w:p>
        </w:tc>
        <w:tc>
          <w:tcPr>
            <w:tcW w:w="2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23,579</w:t>
            </w:r>
          </w:p>
        </w:tc>
        <w:tc>
          <w:tcPr>
            <w:tcW w:w="80" w:type="dxa"/>
            <w:vAlign w:val="bottom"/>
            <w:shd w:val="clear" w:color="auto" w:fill="CFF0FC"/>
          </w:tcPr>
          <w:p>
            <w:pPr>
              <w:spacing w:after="0"/>
              <w:rPr>
                <w:sz w:val="16"/>
                <w:szCs w:val="16"/>
                <w:color w:val="auto"/>
              </w:rPr>
            </w:pPr>
          </w:p>
        </w:tc>
      </w:tr>
      <w:tr>
        <w:trPr>
          <w:trHeight w:val="186"/>
        </w:trPr>
        <w:tc>
          <w:tcPr>
            <w:tcW w:w="6580" w:type="dxa"/>
            <w:vAlign w:val="bottom"/>
          </w:tcPr>
          <w:p>
            <w:pPr>
              <w:spacing w:after="0"/>
              <w:rPr>
                <w:sz w:val="20"/>
                <w:szCs w:val="20"/>
                <w:color w:val="auto"/>
              </w:rPr>
            </w:pPr>
            <w:r>
              <w:rPr>
                <w:rFonts w:ascii="Arial" w:cs="Arial" w:eastAsia="Arial" w:hAnsi="Arial"/>
                <w:sz w:val="15"/>
                <w:szCs w:val="15"/>
                <w:color w:val="auto"/>
              </w:rPr>
              <w:t>2021</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26,395</w:t>
            </w:r>
          </w:p>
        </w:tc>
        <w:tc>
          <w:tcPr>
            <w:tcW w:w="80" w:type="dxa"/>
            <w:vAlign w:val="bottom"/>
          </w:tcPr>
          <w:p>
            <w:pPr>
              <w:spacing w:after="0"/>
              <w:rPr>
                <w:sz w:val="16"/>
                <w:szCs w:val="16"/>
                <w:color w:val="auto"/>
              </w:rPr>
            </w:pPr>
          </w:p>
        </w:tc>
      </w:tr>
      <w:tr>
        <w:trPr>
          <w:trHeight w:val="186"/>
        </w:trPr>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2022</w:t>
            </w:r>
          </w:p>
        </w:tc>
        <w:tc>
          <w:tcPr>
            <w:tcW w:w="2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26,748</w:t>
            </w:r>
          </w:p>
        </w:tc>
        <w:tc>
          <w:tcPr>
            <w:tcW w:w="80" w:type="dxa"/>
            <w:vAlign w:val="bottom"/>
            <w:shd w:val="clear" w:color="auto" w:fill="CFF0FC"/>
          </w:tcPr>
          <w:p>
            <w:pPr>
              <w:spacing w:after="0"/>
              <w:rPr>
                <w:sz w:val="16"/>
                <w:szCs w:val="16"/>
                <w:color w:val="auto"/>
              </w:rPr>
            </w:pPr>
          </w:p>
        </w:tc>
      </w:tr>
      <w:tr>
        <w:trPr>
          <w:trHeight w:val="186"/>
        </w:trPr>
        <w:tc>
          <w:tcPr>
            <w:tcW w:w="658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Thereafter</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135,558</w:t>
            </w:r>
          </w:p>
        </w:tc>
        <w:tc>
          <w:tcPr>
            <w:tcW w:w="80" w:type="dxa"/>
            <w:vAlign w:val="bottom"/>
            <w:tcBorders>
              <w:bottom w:val="single" w:sz="8" w:color="CFF0FC"/>
            </w:tcBorders>
          </w:tcPr>
          <w:p>
            <w:pPr>
              <w:spacing w:after="0"/>
              <w:rPr>
                <w:sz w:val="16"/>
                <w:szCs w:val="16"/>
                <w:color w:val="auto"/>
              </w:rPr>
            </w:pPr>
          </w:p>
        </w:tc>
      </w:tr>
      <w:tr>
        <w:trPr>
          <w:trHeight w:val="177"/>
        </w:trPr>
        <w:tc>
          <w:tcPr>
            <w:tcW w:w="6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color w:val="auto"/>
              </w:rPr>
              <w:t>Total</w:t>
            </w: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250,213</w:t>
            </w:r>
          </w:p>
        </w:tc>
        <w:tc>
          <w:tcPr>
            <w:tcW w:w="80" w:type="dxa"/>
            <w:vAlign w:val="bottom"/>
            <w:tcBorders>
              <w:bottom w:val="single" w:sz="8" w:color="CFF0FC"/>
            </w:tcBorders>
            <w:shd w:val="clear" w:color="auto" w:fill="CFF0FC"/>
          </w:tcPr>
          <w:p>
            <w:pPr>
              <w:spacing w:after="0"/>
              <w:rPr>
                <w:sz w:val="15"/>
                <w:szCs w:val="15"/>
                <w:color w:val="auto"/>
              </w:rPr>
            </w:pPr>
          </w:p>
        </w:tc>
      </w:tr>
      <w:tr>
        <w:trPr>
          <w:trHeight w:val="20"/>
        </w:trPr>
        <w:tc>
          <w:tcPr>
            <w:tcW w:w="6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0" w:lineRule="exact"/>
        <w:rPr>
          <w:sz w:val="20"/>
          <w:szCs w:val="20"/>
          <w:color w:val="auto"/>
        </w:rPr>
      </w:pPr>
    </w:p>
    <w:p>
      <w:pPr>
        <w:ind w:right="320" w:firstLine="520"/>
        <w:spacing w:after="0" w:line="263" w:lineRule="auto"/>
        <w:rPr>
          <w:sz w:val="20"/>
          <w:szCs w:val="20"/>
          <w:color w:val="auto"/>
        </w:rPr>
      </w:pPr>
      <w:r>
        <w:rPr>
          <w:rFonts w:ascii="Arial" w:cs="Arial" w:eastAsia="Arial" w:hAnsi="Arial"/>
          <w:sz w:val="15"/>
          <w:szCs w:val="15"/>
          <w:color w:val="auto"/>
        </w:rPr>
        <w:t>There were no material changes in our vendor commitments under non-cancelable arrangements, as disclosed in the Company’s audited consolidated financial statements for the year ended December 31, 2017 and related notes thereto contained in the Company’s Annual Report on Form 10-K.</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Legal Contingencies</w:t>
      </w:r>
    </w:p>
    <w:p>
      <w:pPr>
        <w:spacing w:after="0" w:line="91" w:lineRule="exact"/>
        <w:rPr>
          <w:sz w:val="20"/>
          <w:szCs w:val="20"/>
          <w:color w:val="auto"/>
        </w:rPr>
      </w:pPr>
    </w:p>
    <w:p>
      <w:pPr>
        <w:ind w:right="440" w:firstLine="520"/>
        <w:spacing w:after="0" w:line="299" w:lineRule="auto"/>
        <w:rPr>
          <w:sz w:val="20"/>
          <w:szCs w:val="20"/>
          <w:color w:val="auto"/>
        </w:rPr>
      </w:pPr>
      <w:r>
        <w:rPr>
          <w:rFonts w:ascii="Arial" w:cs="Arial" w:eastAsia="Arial" w:hAnsi="Arial"/>
          <w:sz w:val="14"/>
          <w:szCs w:val="14"/>
          <w:color w:val="auto"/>
        </w:rPr>
        <w:t>From time to time, the Company may become a party to litigation and subject to claims incident to the ordinary course of business, including intellectual property claims, labor and employment claims, and threatened claims, breach of contract claims, tax, and other matters. The Company currently has no material pending litigation.</w:t>
      </w: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Changes in Accumulated Other Comprehensive Loss</w:t>
      </w:r>
    </w:p>
    <w:p>
      <w:pPr>
        <w:spacing w:after="0" w:line="95"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following table summarizes the changes in accumulated other comprehensive loss, which is reported as a component of stockholders’ equity, for the three months ended March 31,</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2018.</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20" w:type="dxa"/>
            <w:vAlign w:val="bottom"/>
          </w:tcPr>
          <w:p>
            <w:pPr>
              <w:ind w:left="220"/>
              <w:spacing w:after="0"/>
              <w:rPr>
                <w:sz w:val="20"/>
                <w:szCs w:val="20"/>
                <w:color w:val="auto"/>
              </w:rPr>
            </w:pPr>
            <w:r>
              <w:rPr>
                <w:rFonts w:ascii="Arial" w:cs="Arial" w:eastAsia="Arial" w:hAnsi="Arial"/>
                <w:sz w:val="12"/>
                <w:szCs w:val="12"/>
                <w:b w:val="1"/>
                <w:bCs w:val="1"/>
                <w:color w:val="auto"/>
                <w:w w:val="89"/>
              </w:rPr>
              <w:t>Cumulative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20" w:type="dxa"/>
            <w:vAlign w:val="bottom"/>
          </w:tcPr>
          <w:p>
            <w:pPr>
              <w:ind w:left="220"/>
              <w:spacing w:after="0" w:line="121" w:lineRule="exact"/>
              <w:rPr>
                <w:sz w:val="20"/>
                <w:szCs w:val="20"/>
                <w:color w:val="auto"/>
              </w:rPr>
            </w:pPr>
            <w:r>
              <w:rPr>
                <w:rFonts w:ascii="Arial" w:cs="Arial" w:eastAsia="Arial" w:hAnsi="Arial"/>
                <w:sz w:val="12"/>
                <w:szCs w:val="12"/>
                <w:b w:val="1"/>
                <w:bCs w:val="1"/>
                <w:color w:val="auto"/>
                <w:w w:val="89"/>
              </w:rPr>
              <w:t>Translation</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220"/>
              <w:spacing w:after="0" w:line="121" w:lineRule="exact"/>
              <w:rPr>
                <w:sz w:val="20"/>
                <w:szCs w:val="20"/>
                <w:color w:val="auto"/>
              </w:rPr>
            </w:pPr>
            <w:r>
              <w:rPr>
                <w:rFonts w:ascii="Arial" w:cs="Arial" w:eastAsia="Arial" w:hAnsi="Arial"/>
                <w:sz w:val="12"/>
                <w:szCs w:val="12"/>
                <w:b w:val="1"/>
                <w:bCs w:val="1"/>
                <w:color w:val="auto"/>
                <w:w w:val="87"/>
              </w:rPr>
              <w:t>Unrealized Loss on</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1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20" w:type="dxa"/>
            <w:vAlign w:val="bottom"/>
          </w:tcPr>
          <w:p>
            <w:pPr>
              <w:ind w:left="220"/>
              <w:spacing w:after="0"/>
              <w:rPr>
                <w:sz w:val="20"/>
                <w:szCs w:val="20"/>
                <w:color w:val="auto"/>
              </w:rPr>
            </w:pPr>
            <w:r>
              <w:rPr>
                <w:rFonts w:ascii="Arial" w:cs="Arial" w:eastAsia="Arial" w:hAnsi="Arial"/>
                <w:sz w:val="12"/>
                <w:szCs w:val="12"/>
                <w:b w:val="1"/>
                <w:bCs w:val="1"/>
                <w:color w:val="auto"/>
                <w:w w:val="87"/>
              </w:rPr>
              <w:t>Adjustment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5"/>
              </w:rPr>
              <w:t>Investments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Total</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16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center"/>
              <w:ind w:right="240"/>
              <w:spacing w:after="0" w:line="123" w:lineRule="exact"/>
              <w:rPr>
                <w:sz w:val="20"/>
                <w:szCs w:val="20"/>
                <w:color w:val="auto"/>
              </w:rPr>
            </w:pPr>
            <w:r>
              <w:rPr>
                <w:rFonts w:ascii="Arial" w:cs="Arial" w:eastAsia="Arial" w:hAnsi="Arial"/>
                <w:sz w:val="12"/>
                <w:szCs w:val="12"/>
                <w:b w:val="1"/>
                <w:bCs w:val="1"/>
                <w:color w:val="auto"/>
                <w:w w:val="84"/>
              </w:rPr>
              <w:t>(in thousands)</w:t>
            </w:r>
          </w:p>
        </w:tc>
        <w:tc>
          <w:tcPr>
            <w:tcW w:w="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5"/>
                <w:szCs w:val="15"/>
                <w:color w:val="auto"/>
              </w:rPr>
              <w:t>Beginning balance at January 1, 2018</w:t>
            </w:r>
          </w:p>
        </w:tc>
        <w:tc>
          <w:tcPr>
            <w:tcW w:w="2160" w:type="dxa"/>
            <w:vAlign w:val="bottom"/>
            <w:gridSpan w:val="2"/>
            <w:shd w:val="clear" w:color="auto" w:fill="CFF0FC"/>
          </w:tcPr>
          <w:p>
            <w:pPr>
              <w:jc w:val="right"/>
              <w:ind w:right="702"/>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9"/>
              </w:rPr>
              <w:t>379</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(436)</w:t>
            </w:r>
          </w:p>
        </w:tc>
        <w:tc>
          <w:tcPr>
            <w:tcW w:w="3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(57)</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60" w:type="dxa"/>
            <w:vAlign w:val="bottom"/>
          </w:tcPr>
          <w:p>
            <w:pPr>
              <w:spacing w:after="0"/>
              <w:rPr>
                <w:sz w:val="17"/>
                <w:szCs w:val="17"/>
                <w:color w:val="auto"/>
              </w:rPr>
            </w:pPr>
          </w:p>
        </w:tc>
        <w:tc>
          <w:tcPr>
            <w:tcW w:w="4000" w:type="dxa"/>
            <w:vAlign w:val="bottom"/>
          </w:tcPr>
          <w:p>
            <w:pPr>
              <w:ind w:left="200"/>
              <w:spacing w:after="0"/>
              <w:rPr>
                <w:sz w:val="20"/>
                <w:szCs w:val="20"/>
                <w:color w:val="auto"/>
              </w:rPr>
            </w:pPr>
            <w:r>
              <w:rPr>
                <w:rFonts w:ascii="Arial" w:cs="Arial" w:eastAsia="Arial" w:hAnsi="Arial"/>
                <w:sz w:val="15"/>
                <w:szCs w:val="15"/>
                <w:color w:val="auto"/>
              </w:rPr>
              <w:t>Other comprehensive gain (loss) before reclassifications</w:t>
            </w:r>
          </w:p>
        </w:tc>
        <w:tc>
          <w:tcPr>
            <w:tcW w:w="1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w w:val="79"/>
              </w:rPr>
              <w:t>298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5"/>
                <w:szCs w:val="15"/>
                <w:color w:val="auto"/>
              </w:rPr>
              <w:t>(379)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(81)</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40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Amounts reclassified from accumulated other</w:t>
            </w:r>
          </w:p>
        </w:tc>
        <w:tc>
          <w:tcPr>
            <w:tcW w:w="13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4000" w:type="dxa"/>
            <w:vAlign w:val="bottom"/>
            <w:shd w:val="clear" w:color="auto" w:fill="CFF0FC"/>
          </w:tcPr>
          <w:p>
            <w:pPr>
              <w:ind w:left="300"/>
              <w:spacing w:after="0"/>
              <w:rPr>
                <w:sz w:val="20"/>
                <w:szCs w:val="20"/>
                <w:color w:val="auto"/>
              </w:rPr>
            </w:pPr>
            <w:r>
              <w:rPr>
                <w:rFonts w:ascii="Arial" w:cs="Arial" w:eastAsia="Arial" w:hAnsi="Arial"/>
                <w:sz w:val="15"/>
                <w:szCs w:val="15"/>
                <w:color w:val="auto"/>
              </w:rPr>
              <w:t>comprehensive income</w:t>
            </w:r>
          </w:p>
        </w:tc>
        <w:tc>
          <w:tcPr>
            <w:tcW w:w="1340" w:type="dxa"/>
            <w:vAlign w:val="bottom"/>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160" w:type="dxa"/>
            <w:vAlign w:val="bottom"/>
            <w:gridSpan w:val="2"/>
          </w:tcPr>
          <w:p>
            <w:pPr>
              <w:ind w:left="1160"/>
              <w:spacing w:after="0"/>
              <w:rPr>
                <w:sz w:val="20"/>
                <w:szCs w:val="20"/>
                <w:color w:val="auto"/>
              </w:rPr>
            </w:pPr>
            <w:r>
              <w:rPr>
                <w:rFonts w:ascii="Arial" w:cs="Arial" w:eastAsia="Arial" w:hAnsi="Arial"/>
                <w:sz w:val="15"/>
                <w:szCs w:val="15"/>
                <w:color w:val="auto"/>
              </w:rPr>
              <w:t>Ending balance at March 31, 2018</w:t>
            </w:r>
          </w:p>
        </w:tc>
        <w:tc>
          <w:tcPr>
            <w:tcW w:w="2160" w:type="dxa"/>
            <w:vAlign w:val="bottom"/>
            <w:gridSpan w:val="2"/>
          </w:tcPr>
          <w:p>
            <w:pPr>
              <w:jc w:val="right"/>
              <w:ind w:right="702"/>
              <w:spacing w:after="0"/>
              <w:rPr>
                <w:sz w:val="20"/>
                <w:szCs w:val="20"/>
                <w:color w:val="auto"/>
              </w:rPr>
            </w:pPr>
            <w:r>
              <w:rPr>
                <w:rFonts w:ascii="Arial" w:cs="Arial" w:eastAsia="Arial" w:hAnsi="Arial"/>
                <w:sz w:val="15"/>
                <w:szCs w:val="15"/>
                <w:color w:val="auto"/>
              </w:rPr>
              <w:t>$</w:t>
            </w:r>
          </w:p>
        </w:tc>
        <w:tc>
          <w:tcPr>
            <w:tcW w:w="240" w:type="dxa"/>
            <w:vAlign w:val="bottom"/>
          </w:tcPr>
          <w:p>
            <w:pPr>
              <w:jc w:val="right"/>
              <w:spacing w:after="0"/>
              <w:rPr>
                <w:sz w:val="20"/>
                <w:szCs w:val="20"/>
                <w:color w:val="auto"/>
              </w:rPr>
            </w:pPr>
            <w:r>
              <w:rPr>
                <w:rFonts w:ascii="Arial" w:cs="Arial" w:eastAsia="Arial" w:hAnsi="Arial"/>
                <w:sz w:val="15"/>
                <w:szCs w:val="15"/>
                <w:color w:val="auto"/>
                <w:w w:val="79"/>
              </w:rPr>
              <w:t>677</w:t>
            </w:r>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5"/>
                <w:szCs w:val="15"/>
                <w:color w:val="auto"/>
              </w:rPr>
              <w:t>(815)</w:t>
            </w:r>
          </w:p>
        </w:tc>
        <w:tc>
          <w:tcPr>
            <w:tcW w:w="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(138)</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340" w:type="dxa"/>
            <w:vAlign w:val="bottom"/>
            <w:vMerge w:val="restart"/>
          </w:tcPr>
          <w:p>
            <w:pPr>
              <w:jc w:val="right"/>
              <w:ind w:right="627"/>
              <w:spacing w:after="0"/>
              <w:rPr>
                <w:sz w:val="20"/>
                <w:szCs w:val="20"/>
                <w:color w:val="auto"/>
              </w:rPr>
            </w:pPr>
            <w:r>
              <w:rPr>
                <w:rFonts w:ascii="Arial" w:cs="Arial" w:eastAsia="Arial" w:hAnsi="Arial"/>
                <w:sz w:val="15"/>
                <w:szCs w:val="15"/>
                <w:color w:val="auto"/>
              </w:rPr>
              <w:t>18</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11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160" w:type="dxa"/>
            <w:vAlign w:val="bottom"/>
            <w:tcBorders>
              <w:bottom w:val="single" w:sz="8" w:color="9A9A9A"/>
            </w:tcBorders>
          </w:tcPr>
          <w:p>
            <w:pPr>
              <w:spacing w:after="0"/>
              <w:rPr>
                <w:sz w:val="7"/>
                <w:szCs w:val="7"/>
                <w:color w:val="auto"/>
              </w:rPr>
            </w:pPr>
          </w:p>
        </w:tc>
        <w:tc>
          <w:tcPr>
            <w:tcW w:w="40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-26035</wp:posOffset>
            </wp:positionV>
            <wp:extent cx="32385"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304" w:right="199" w:bottom="1440" w:gutter="0" w:footer="0" w:header="0"/>
        </w:sectPr>
      </w:pPr>
    </w:p>
    <w:bookmarkStart w:id="18" w:name="page19"/>
    <w:bookmarkEnd w:id="18"/>
    <w:p>
      <w:pPr>
        <w:spacing w:after="0"/>
        <w:rPr>
          <w:sz w:val="20"/>
          <w:szCs w:val="20"/>
          <w:color w:val="auto"/>
        </w:rPr>
      </w:pPr>
      <w:r>
        <w:rPr>
          <w:rFonts w:ascii="Arial" w:cs="Arial" w:eastAsia="Arial" w:hAnsi="Arial"/>
          <w:sz w:val="15"/>
          <w:szCs w:val="15"/>
          <w:b w:val="1"/>
          <w:bCs w:val="1"/>
          <w:color w:val="auto"/>
        </w:rPr>
        <w:t>12. Stock-Based Compensation Expense</w:t>
      </w:r>
    </w:p>
    <w:p>
      <w:pPr>
        <w:spacing w:after="0" w:line="95" w:lineRule="exact"/>
        <w:rPr>
          <w:sz w:val="20"/>
          <w:szCs w:val="20"/>
          <w:color w:val="auto"/>
        </w:rPr>
      </w:pPr>
    </w:p>
    <w:p>
      <w:pPr>
        <w:ind w:firstLine="520"/>
        <w:spacing w:after="0" w:line="263" w:lineRule="auto"/>
        <w:rPr>
          <w:sz w:val="20"/>
          <w:szCs w:val="20"/>
          <w:color w:val="auto"/>
        </w:rPr>
      </w:pPr>
      <w:r>
        <w:rPr>
          <w:rFonts w:ascii="Arial" w:cs="Arial" w:eastAsia="Arial" w:hAnsi="Arial"/>
          <w:sz w:val="15"/>
          <w:szCs w:val="15"/>
          <w:color w:val="auto"/>
        </w:rPr>
        <w:t>The following two tables show stock-based compensation expense by award type and where the stock-based compensation expense is recorded in the Company’s consolidated statements of operations:</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138"/>
        </w:trPr>
        <w:tc>
          <w:tcPr>
            <w:tcW w:w="6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620" w:type="dxa"/>
            <w:vAlign w:val="bottom"/>
            <w:tcBorders>
              <w:bottom w:val="single" w:sz="8" w:color="auto"/>
            </w:tcBorders>
            <w:gridSpan w:val="5"/>
          </w:tcPr>
          <w:p>
            <w:pPr>
              <w:jc w:val="center"/>
              <w:ind w:left="402"/>
              <w:spacing w:after="0"/>
              <w:rPr>
                <w:sz w:val="20"/>
                <w:szCs w:val="20"/>
                <w:color w:val="auto"/>
              </w:rPr>
            </w:pPr>
            <w:r>
              <w:rPr>
                <w:rFonts w:ascii="Arial" w:cs="Arial" w:eastAsia="Arial" w:hAnsi="Arial"/>
                <w:sz w:val="12"/>
                <w:szCs w:val="12"/>
                <w:b w:val="1"/>
                <w:bCs w:val="1"/>
                <w:color w:val="auto"/>
                <w:w w:val="90"/>
              </w:rPr>
              <w:t>Three Months Ended March 31,</w:t>
            </w: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900" w:type="dxa"/>
            <w:vAlign w:val="bottom"/>
            <w:tcBorders>
              <w:bottom w:val="single" w:sz="8" w:color="auto"/>
            </w:tcBorders>
          </w:tcPr>
          <w:p>
            <w:pPr>
              <w:jc w:val="right"/>
              <w:ind w:right="42"/>
              <w:spacing w:after="0" w:line="123" w:lineRule="exact"/>
              <w:rPr>
                <w:sz w:val="20"/>
                <w:szCs w:val="20"/>
                <w:color w:val="auto"/>
              </w:rPr>
            </w:pPr>
            <w:r>
              <w:rPr>
                <w:rFonts w:ascii="Arial" w:cs="Arial" w:eastAsia="Arial" w:hAnsi="Arial"/>
                <w:sz w:val="12"/>
                <w:szCs w:val="12"/>
                <w:b w:val="1"/>
                <w:bCs w:val="1"/>
                <w:color w:val="auto"/>
              </w:rPr>
              <w:t>2018</w:t>
            </w:r>
          </w:p>
        </w:tc>
        <w:tc>
          <w:tcPr>
            <w:tcW w:w="5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3"/>
          </w:tcPr>
          <w:p>
            <w:pPr>
              <w:jc w:val="right"/>
              <w:ind w:right="120"/>
              <w:spacing w:after="0" w:line="123" w:lineRule="exact"/>
              <w:rPr>
                <w:sz w:val="20"/>
                <w:szCs w:val="20"/>
                <w:color w:val="auto"/>
              </w:rPr>
            </w:pPr>
            <w:r>
              <w:rPr>
                <w:rFonts w:ascii="Arial" w:cs="Arial" w:eastAsia="Arial" w:hAnsi="Arial"/>
                <w:sz w:val="12"/>
                <w:szCs w:val="12"/>
                <w:b w:val="1"/>
                <w:bCs w:val="1"/>
                <w:color w:val="auto"/>
              </w:rPr>
              <w:t>2017</w:t>
            </w: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20" w:type="dxa"/>
            <w:vAlign w:val="bottom"/>
            <w:gridSpan w:val="4"/>
          </w:tcPr>
          <w:p>
            <w:pPr>
              <w:jc w:val="center"/>
              <w:ind w:right="440"/>
              <w:spacing w:after="0" w:line="123" w:lineRule="exact"/>
              <w:rPr>
                <w:sz w:val="20"/>
                <w:szCs w:val="20"/>
                <w:color w:val="auto"/>
              </w:rPr>
            </w:pPr>
            <w:r>
              <w:rPr>
                <w:rFonts w:ascii="Arial" w:cs="Arial" w:eastAsia="Arial" w:hAnsi="Arial"/>
                <w:sz w:val="12"/>
                <w:szCs w:val="12"/>
                <w:b w:val="1"/>
                <w:bCs w:val="1"/>
                <w:color w:val="auto"/>
                <w:w w:val="87"/>
              </w:rPr>
              <w:t>(in thousands)</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5"/>
                <w:szCs w:val="15"/>
                <w:color w:val="auto"/>
              </w:rPr>
              <w:t>Options</w:t>
            </w:r>
          </w:p>
        </w:tc>
        <w:tc>
          <w:tcPr>
            <w:tcW w:w="2480" w:type="dxa"/>
            <w:vAlign w:val="bottom"/>
            <w:gridSpan w:val="2"/>
            <w:shd w:val="clear" w:color="auto" w:fill="CFF0FC"/>
          </w:tcPr>
          <w:p>
            <w:pPr>
              <w:jc w:val="right"/>
              <w:ind w:right="782"/>
              <w:spacing w:after="0"/>
              <w:rPr>
                <w:sz w:val="20"/>
                <w:szCs w:val="20"/>
                <w:color w:val="auto"/>
              </w:rPr>
            </w:pPr>
            <w:r>
              <w:rPr>
                <w:rFonts w:ascii="Arial" w:cs="Arial" w:eastAsia="Arial" w:hAnsi="Arial"/>
                <w:sz w:val="15"/>
                <w:szCs w:val="15"/>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1,334</w:t>
            </w:r>
          </w:p>
        </w:tc>
        <w:tc>
          <w:tcPr>
            <w:tcW w:w="1200" w:type="dxa"/>
            <w:vAlign w:val="bottom"/>
            <w:gridSpan w:val="3"/>
            <w:shd w:val="clear" w:color="auto" w:fill="CFF0FC"/>
          </w:tcPr>
          <w:p>
            <w:pPr>
              <w:jc w:val="right"/>
              <w:ind w:right="880"/>
              <w:spacing w:after="0"/>
              <w:rPr>
                <w:sz w:val="20"/>
                <w:szCs w:val="20"/>
                <w:color w:val="auto"/>
              </w:rPr>
            </w:pPr>
            <w:r>
              <w:rPr>
                <w:rFonts w:ascii="Arial" w:cs="Arial" w:eastAsia="Arial" w:hAnsi="Arial"/>
                <w:sz w:val="15"/>
                <w:szCs w:val="15"/>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1,247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80" w:type="dxa"/>
            <w:vAlign w:val="bottom"/>
            <w:gridSpan w:val="2"/>
          </w:tcPr>
          <w:p>
            <w:pPr>
              <w:ind w:left="60"/>
              <w:spacing w:after="0"/>
              <w:rPr>
                <w:sz w:val="20"/>
                <w:szCs w:val="20"/>
                <w:color w:val="auto"/>
              </w:rPr>
            </w:pPr>
            <w:r>
              <w:rPr>
                <w:rFonts w:ascii="Arial" w:cs="Arial" w:eastAsia="Arial" w:hAnsi="Arial"/>
                <w:sz w:val="15"/>
                <w:szCs w:val="15"/>
                <w:color w:val="auto"/>
              </w:rPr>
              <w:t>RSUs</w:t>
            </w:r>
          </w:p>
        </w:tc>
        <w:tc>
          <w:tcPr>
            <w:tcW w:w="1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14,241</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7,790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5"/>
                <w:szCs w:val="15"/>
                <w:color w:val="auto"/>
              </w:rPr>
              <w:t>Employee stock purchase plan</w:t>
            </w:r>
          </w:p>
        </w:tc>
        <w:tc>
          <w:tcPr>
            <w:tcW w:w="1580" w:type="dxa"/>
            <w:vAlign w:val="bottom"/>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471</w:t>
            </w:r>
          </w:p>
        </w:tc>
        <w:tc>
          <w:tcPr>
            <w:tcW w:w="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266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5520" w:type="dxa"/>
            <w:vAlign w:val="bottom"/>
          </w:tcPr>
          <w:p>
            <w:pPr>
              <w:ind w:left="200"/>
              <w:spacing w:after="0"/>
              <w:rPr>
                <w:sz w:val="20"/>
                <w:szCs w:val="20"/>
                <w:color w:val="auto"/>
              </w:rPr>
            </w:pPr>
            <w:r>
              <w:rPr>
                <w:rFonts w:ascii="Arial" w:cs="Arial" w:eastAsia="Arial" w:hAnsi="Arial"/>
                <w:sz w:val="15"/>
                <w:szCs w:val="15"/>
                <w:color w:val="auto"/>
              </w:rPr>
              <w:t>Total stock-based compensation expense</w:t>
            </w:r>
          </w:p>
        </w:tc>
        <w:tc>
          <w:tcPr>
            <w:tcW w:w="2480" w:type="dxa"/>
            <w:vAlign w:val="bottom"/>
            <w:gridSpan w:val="2"/>
          </w:tcPr>
          <w:p>
            <w:pPr>
              <w:jc w:val="right"/>
              <w:ind w:right="782"/>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16,046</w:t>
            </w:r>
          </w:p>
        </w:tc>
        <w:tc>
          <w:tcPr>
            <w:tcW w:w="1200" w:type="dxa"/>
            <w:vAlign w:val="bottom"/>
            <w:gridSpan w:val="3"/>
          </w:tcPr>
          <w:p>
            <w:pPr>
              <w:jc w:val="right"/>
              <w:ind w:right="880"/>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9,303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5"/>
                <w:szCs w:val="15"/>
                <w:color w:val="auto"/>
              </w:rPr>
              <w:t>Effect of stock-based compensation expense on income by line item:</w:t>
            </w:r>
          </w:p>
        </w:tc>
        <w:tc>
          <w:tcPr>
            <w:tcW w:w="15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580" w:type="dxa"/>
            <w:vAlign w:val="bottom"/>
            <w:gridSpan w:val="2"/>
            <w:vMerge w:val="continue"/>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20" w:type="dxa"/>
            <w:vAlign w:val="bottom"/>
            <w:tcBorders>
              <w:bottom w:val="single" w:sz="8" w:color="auto"/>
            </w:tcBorders>
            <w:gridSpan w:val="5"/>
          </w:tcPr>
          <w:p>
            <w:pPr>
              <w:jc w:val="center"/>
              <w:ind w:left="402"/>
              <w:spacing w:after="0"/>
              <w:rPr>
                <w:sz w:val="20"/>
                <w:szCs w:val="20"/>
                <w:color w:val="auto"/>
              </w:rPr>
            </w:pPr>
            <w:r>
              <w:rPr>
                <w:rFonts w:ascii="Arial" w:cs="Arial" w:eastAsia="Arial" w:hAnsi="Arial"/>
                <w:sz w:val="12"/>
                <w:szCs w:val="12"/>
                <w:b w:val="1"/>
                <w:bCs w:val="1"/>
                <w:color w:val="auto"/>
                <w:w w:val="90"/>
              </w:rPr>
              <w:t>Three Months Ended March 31,</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900" w:type="dxa"/>
            <w:vAlign w:val="bottom"/>
            <w:tcBorders>
              <w:bottom w:val="single" w:sz="8" w:color="auto"/>
            </w:tcBorders>
          </w:tcPr>
          <w:p>
            <w:pPr>
              <w:jc w:val="right"/>
              <w:ind w:right="42"/>
              <w:spacing w:after="0" w:line="123" w:lineRule="exact"/>
              <w:rPr>
                <w:sz w:val="20"/>
                <w:szCs w:val="20"/>
                <w:color w:val="auto"/>
              </w:rPr>
            </w:pPr>
            <w:r>
              <w:rPr>
                <w:rFonts w:ascii="Arial" w:cs="Arial" w:eastAsia="Arial" w:hAnsi="Arial"/>
                <w:sz w:val="12"/>
                <w:szCs w:val="12"/>
                <w:b w:val="1"/>
                <w:bCs w:val="1"/>
                <w:color w:val="auto"/>
              </w:rPr>
              <w:t>2018</w:t>
            </w:r>
          </w:p>
        </w:tc>
        <w:tc>
          <w:tcPr>
            <w:tcW w:w="5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3"/>
          </w:tcPr>
          <w:p>
            <w:pPr>
              <w:jc w:val="right"/>
              <w:ind w:right="120"/>
              <w:spacing w:after="0" w:line="123" w:lineRule="exact"/>
              <w:rPr>
                <w:sz w:val="20"/>
                <w:szCs w:val="20"/>
                <w:color w:val="auto"/>
              </w:rPr>
            </w:pPr>
            <w:r>
              <w:rPr>
                <w:rFonts w:ascii="Arial" w:cs="Arial" w:eastAsia="Arial" w:hAnsi="Arial"/>
                <w:sz w:val="12"/>
                <w:szCs w:val="12"/>
                <w:b w:val="1"/>
                <w:bCs w:val="1"/>
                <w:color w:val="auto"/>
              </w:rPr>
              <w:t>2017</w:t>
            </w: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20" w:type="dxa"/>
            <w:vAlign w:val="bottom"/>
            <w:gridSpan w:val="4"/>
          </w:tcPr>
          <w:p>
            <w:pPr>
              <w:jc w:val="center"/>
              <w:ind w:right="440"/>
              <w:spacing w:after="0" w:line="123" w:lineRule="exact"/>
              <w:rPr>
                <w:sz w:val="20"/>
                <w:szCs w:val="20"/>
                <w:color w:val="auto"/>
              </w:rPr>
            </w:pPr>
            <w:r>
              <w:rPr>
                <w:rFonts w:ascii="Arial" w:cs="Arial" w:eastAsia="Arial" w:hAnsi="Arial"/>
                <w:sz w:val="12"/>
                <w:szCs w:val="12"/>
                <w:b w:val="1"/>
                <w:bCs w:val="1"/>
                <w:color w:val="auto"/>
                <w:w w:val="87"/>
              </w:rPr>
              <w:t>(in thousands)</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5"/>
                <w:szCs w:val="15"/>
                <w:color w:val="auto"/>
              </w:rPr>
              <w:t>Cost of revenue, subscription</w:t>
            </w:r>
          </w:p>
        </w:tc>
        <w:tc>
          <w:tcPr>
            <w:tcW w:w="2480" w:type="dxa"/>
            <w:vAlign w:val="bottom"/>
            <w:gridSpan w:val="2"/>
            <w:shd w:val="clear" w:color="auto" w:fill="CFF0FC"/>
          </w:tcPr>
          <w:p>
            <w:pPr>
              <w:jc w:val="right"/>
              <w:ind w:right="782"/>
              <w:spacing w:after="0"/>
              <w:rPr>
                <w:sz w:val="20"/>
                <w:szCs w:val="20"/>
                <w:color w:val="auto"/>
              </w:rPr>
            </w:pPr>
            <w:r>
              <w:rPr>
                <w:rFonts w:ascii="Arial" w:cs="Arial" w:eastAsia="Arial" w:hAnsi="Arial"/>
                <w:sz w:val="15"/>
                <w:szCs w:val="15"/>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277</w:t>
            </w:r>
          </w:p>
        </w:tc>
        <w:tc>
          <w:tcPr>
            <w:tcW w:w="1200" w:type="dxa"/>
            <w:vAlign w:val="bottom"/>
            <w:gridSpan w:val="3"/>
            <w:shd w:val="clear" w:color="auto" w:fill="CFF0FC"/>
          </w:tcPr>
          <w:p>
            <w:pPr>
              <w:jc w:val="right"/>
              <w:ind w:right="880"/>
              <w:spacing w:after="0"/>
              <w:rPr>
                <w:sz w:val="20"/>
                <w:szCs w:val="20"/>
                <w:color w:val="auto"/>
              </w:rPr>
            </w:pPr>
            <w:r>
              <w:rPr>
                <w:rFonts w:ascii="Arial" w:cs="Arial" w:eastAsia="Arial" w:hAnsi="Arial"/>
                <w:sz w:val="15"/>
                <w:szCs w:val="15"/>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80" w:type="dxa"/>
            <w:vAlign w:val="bottom"/>
            <w:gridSpan w:val="2"/>
          </w:tcPr>
          <w:p>
            <w:pPr>
              <w:ind w:left="60"/>
              <w:spacing w:after="0"/>
              <w:rPr>
                <w:sz w:val="20"/>
                <w:szCs w:val="20"/>
                <w:color w:val="auto"/>
              </w:rPr>
            </w:pPr>
            <w:r>
              <w:rPr>
                <w:rFonts w:ascii="Arial" w:cs="Arial" w:eastAsia="Arial" w:hAnsi="Arial"/>
                <w:sz w:val="15"/>
                <w:szCs w:val="15"/>
                <w:color w:val="auto"/>
              </w:rPr>
              <w:t>Cost of revenue, professional services and other</w:t>
            </w:r>
          </w:p>
        </w:tc>
        <w:tc>
          <w:tcPr>
            <w:tcW w:w="1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690</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449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5"/>
                <w:szCs w:val="15"/>
                <w:color w:val="auto"/>
              </w:rPr>
              <w:t>Research and development</w:t>
            </w:r>
          </w:p>
        </w:tc>
        <w:tc>
          <w:tcPr>
            <w:tcW w:w="15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4,764</w:t>
            </w:r>
          </w:p>
        </w:tc>
        <w:tc>
          <w:tcPr>
            <w:tcW w:w="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2,442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80" w:type="dxa"/>
            <w:vAlign w:val="bottom"/>
            <w:gridSpan w:val="2"/>
          </w:tcPr>
          <w:p>
            <w:pPr>
              <w:ind w:left="60"/>
              <w:spacing w:after="0"/>
              <w:rPr>
                <w:sz w:val="20"/>
                <w:szCs w:val="20"/>
                <w:color w:val="auto"/>
              </w:rPr>
            </w:pPr>
            <w:r>
              <w:rPr>
                <w:rFonts w:ascii="Arial" w:cs="Arial" w:eastAsia="Arial" w:hAnsi="Arial"/>
                <w:sz w:val="15"/>
                <w:szCs w:val="15"/>
                <w:color w:val="auto"/>
              </w:rPr>
              <w:t>Sales and marketing</w:t>
            </w:r>
          </w:p>
        </w:tc>
        <w:tc>
          <w:tcPr>
            <w:tcW w:w="1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6,492</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3,770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5"/>
                <w:szCs w:val="15"/>
                <w:color w:val="auto"/>
              </w:rPr>
              <w:t>General and administrative</w:t>
            </w:r>
          </w:p>
        </w:tc>
        <w:tc>
          <w:tcPr>
            <w:tcW w:w="1580" w:type="dxa"/>
            <w:vAlign w:val="bottom"/>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3,823</w:t>
            </w:r>
          </w:p>
        </w:tc>
        <w:tc>
          <w:tcPr>
            <w:tcW w:w="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2,527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580" w:type="dxa"/>
            <w:vAlign w:val="bottom"/>
            <w:gridSpan w:val="2"/>
          </w:tcPr>
          <w:p>
            <w:pPr>
              <w:ind w:left="60"/>
              <w:spacing w:after="0"/>
              <w:rPr>
                <w:sz w:val="20"/>
                <w:szCs w:val="20"/>
                <w:color w:val="auto"/>
              </w:rPr>
            </w:pPr>
            <w:r>
              <w:rPr>
                <w:rFonts w:ascii="Arial" w:cs="Arial" w:eastAsia="Arial" w:hAnsi="Arial"/>
                <w:sz w:val="15"/>
                <w:szCs w:val="15"/>
                <w:color w:val="auto"/>
              </w:rPr>
              <w:t>Total stock-based compensation expense</w:t>
            </w:r>
          </w:p>
        </w:tc>
        <w:tc>
          <w:tcPr>
            <w:tcW w:w="2480" w:type="dxa"/>
            <w:vAlign w:val="bottom"/>
            <w:gridSpan w:val="2"/>
          </w:tcPr>
          <w:p>
            <w:pPr>
              <w:jc w:val="right"/>
              <w:ind w:right="782"/>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16,046</w:t>
            </w:r>
          </w:p>
        </w:tc>
        <w:tc>
          <w:tcPr>
            <w:tcW w:w="1200" w:type="dxa"/>
            <w:vAlign w:val="bottom"/>
            <w:gridSpan w:val="3"/>
          </w:tcPr>
          <w:p>
            <w:pPr>
              <w:jc w:val="right"/>
              <w:ind w:right="880"/>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9,303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right="80" w:firstLine="520"/>
        <w:spacing w:after="0" w:line="263" w:lineRule="auto"/>
        <w:rPr>
          <w:sz w:val="20"/>
          <w:szCs w:val="20"/>
          <w:color w:val="auto"/>
        </w:rPr>
      </w:pPr>
      <w:r>
        <w:rPr>
          <w:rFonts w:ascii="Arial" w:cs="Arial" w:eastAsia="Arial" w:hAnsi="Arial"/>
          <w:sz w:val="15"/>
          <w:szCs w:val="15"/>
          <w:color w:val="auto"/>
        </w:rPr>
        <w:t>Capitalized software development costs excluded from stock-based compensation expense is $550 thousand for the three months ended March 31, 2018 and $338 thousand for the three months ended March 31, 2017.</w:t>
      </w:r>
    </w:p>
    <w:p>
      <w:pPr>
        <w:spacing w:after="0" w:line="2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13. Segment Information and Geographic Data</w:t>
      </w:r>
    </w:p>
    <w:p>
      <w:pPr>
        <w:spacing w:after="0" w:line="95" w:lineRule="exact"/>
        <w:rPr>
          <w:sz w:val="20"/>
          <w:szCs w:val="20"/>
          <w:color w:val="auto"/>
        </w:rPr>
      </w:pPr>
    </w:p>
    <w:p>
      <w:pPr>
        <w:ind w:right="140" w:firstLine="520"/>
        <w:spacing w:after="0" w:line="249" w:lineRule="auto"/>
        <w:rPr>
          <w:sz w:val="20"/>
          <w:szCs w:val="20"/>
          <w:color w:val="auto"/>
        </w:rPr>
      </w:pPr>
      <w:r>
        <w:rPr>
          <w:rFonts w:ascii="Arial" w:cs="Arial" w:eastAsia="Arial" w:hAnsi="Arial"/>
          <w:sz w:val="15"/>
          <w:szCs w:val="15"/>
          <w:color w:val="auto"/>
        </w:rPr>
        <w:t>The Company operates as one operating segment. Operating segments are defined as components of an enterprise for which separate financial information is regularly evaluated by the chief operating decision makers (“CODMs”), which are the Company’s chief executive officer and chief operating officer, in deciding how to allocate resources and assess performance. The Company’s CODMs evaluate the Company’s financial information and resources and assess the performance of these resources on a consolidated basis. Since the Company operates in one operating segment, all required financial segment information can be found in the consolidated financial statements. Revenue and long-lived assets by geographic region, based on the physical location of the operations recording the sale or the asset, are as follows:</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5"/>
          <w:szCs w:val="15"/>
          <w:color w:val="auto"/>
        </w:rPr>
        <w:t>Revenues by geographical region:</w:t>
      </w:r>
    </w:p>
    <w:p>
      <w:pPr>
        <w:spacing w:after="0" w:line="238" w:lineRule="exact"/>
        <w:rPr>
          <w:sz w:val="20"/>
          <w:szCs w:val="20"/>
          <w:color w:val="auto"/>
        </w:rPr>
      </w:pPr>
    </w:p>
    <w:tbl>
      <w:tblPr>
        <w:tblLayout w:type="fixed"/>
        <w:tblInd w:w="1740" w:type="dxa"/>
        <w:tblCellMar>
          <w:top w:w="0" w:type="dxa"/>
          <w:left w:w="0" w:type="dxa"/>
          <w:bottom w:w="0" w:type="dxa"/>
          <w:right w:w="0" w:type="dxa"/>
        </w:tblCellMar>
      </w:tblPr>
      <w:tr>
        <w:trPr>
          <w:trHeight w:val="138"/>
        </w:trPr>
        <w:tc>
          <w:tcPr>
            <w:tcW w:w="5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80" w:type="dxa"/>
            <w:vAlign w:val="bottom"/>
            <w:gridSpan w:val="6"/>
          </w:tcPr>
          <w:p>
            <w:pPr>
              <w:jc w:val="right"/>
              <w:ind w:right="580"/>
              <w:spacing w:after="0"/>
              <w:rPr>
                <w:sz w:val="20"/>
                <w:szCs w:val="20"/>
                <w:color w:val="auto"/>
              </w:rPr>
            </w:pPr>
            <w:r>
              <w:rPr>
                <w:rFonts w:ascii="Arial" w:cs="Arial" w:eastAsia="Arial" w:hAnsi="Arial"/>
                <w:sz w:val="12"/>
                <w:szCs w:val="12"/>
                <w:b w:val="1"/>
                <w:bCs w:val="1"/>
                <w:color w:val="auto"/>
              </w:rPr>
              <w:t>Three Months Ended March 31,</w:t>
            </w:r>
          </w:p>
        </w:tc>
      </w:tr>
      <w:tr>
        <w:trPr>
          <w:trHeight w:val="123"/>
        </w:trPr>
        <w:tc>
          <w:tcPr>
            <w:tcW w:w="5380" w:type="dxa"/>
            <w:vAlign w:val="bottom"/>
            <w:tcBorders>
              <w:bottom w:val="single" w:sz="8" w:color="CFF0FC"/>
            </w:tcBorders>
          </w:tcPr>
          <w:p>
            <w:pPr>
              <w:spacing w:after="0"/>
              <w:rPr>
                <w:sz w:val="10"/>
                <w:szCs w:val="10"/>
                <w:color w:val="auto"/>
              </w:rPr>
            </w:pPr>
          </w:p>
        </w:tc>
        <w:tc>
          <w:tcPr>
            <w:tcW w:w="24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ind w:right="371"/>
              <w:spacing w:after="0" w:line="123" w:lineRule="exact"/>
              <w:rPr>
                <w:sz w:val="20"/>
                <w:szCs w:val="20"/>
                <w:color w:val="auto"/>
              </w:rPr>
            </w:pPr>
            <w:r>
              <w:rPr>
                <w:rFonts w:ascii="Arial" w:cs="Arial" w:eastAsia="Arial" w:hAnsi="Arial"/>
                <w:sz w:val="12"/>
                <w:szCs w:val="12"/>
                <w:b w:val="1"/>
                <w:bCs w:val="1"/>
                <w:color w:val="auto"/>
              </w:rPr>
              <w:t>2018</w:t>
            </w:r>
          </w:p>
        </w:tc>
        <w:tc>
          <w:tcPr>
            <w:tcW w:w="200" w:type="dxa"/>
            <w:vAlign w:val="bottom"/>
            <w:tcBorders>
              <w:top w:val="single" w:sz="8" w:color="auto"/>
              <w:bottom w:val="single" w:sz="8" w:color="CFF0FC"/>
            </w:tcBorders>
          </w:tcPr>
          <w:p>
            <w:pPr>
              <w:spacing w:after="0"/>
              <w:rPr>
                <w:sz w:val="10"/>
                <w:szCs w:val="10"/>
                <w:color w:val="auto"/>
              </w:rPr>
            </w:pPr>
          </w:p>
        </w:tc>
        <w:tc>
          <w:tcPr>
            <w:tcW w:w="60" w:type="dxa"/>
            <w:vAlign w:val="bottom"/>
            <w:tcBorders>
              <w:top w:val="single" w:sz="8" w:color="auto"/>
              <w:bottom w:val="single" w:sz="8" w:color="CFF0FC"/>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ind w:right="369"/>
              <w:spacing w:after="0" w:line="123" w:lineRule="exact"/>
              <w:rPr>
                <w:sz w:val="20"/>
                <w:szCs w:val="20"/>
                <w:color w:val="auto"/>
              </w:rPr>
            </w:pPr>
            <w:r>
              <w:rPr>
                <w:rFonts w:ascii="Arial" w:cs="Arial" w:eastAsia="Arial" w:hAnsi="Arial"/>
                <w:sz w:val="12"/>
                <w:szCs w:val="12"/>
                <w:b w:val="1"/>
                <w:bCs w:val="1"/>
                <w:color w:val="auto"/>
              </w:rPr>
              <w:t>2017</w:t>
            </w:r>
          </w:p>
        </w:tc>
        <w:tc>
          <w:tcPr>
            <w:tcW w:w="140" w:type="dxa"/>
            <w:vAlign w:val="bottom"/>
            <w:tcBorders>
              <w:bottom w:val="single" w:sz="8" w:color="CFF0FC"/>
            </w:tcBorders>
          </w:tcPr>
          <w:p>
            <w:pPr>
              <w:spacing w:after="0"/>
              <w:rPr>
                <w:sz w:val="10"/>
                <w:szCs w:val="10"/>
                <w:color w:val="auto"/>
              </w:rPr>
            </w:pPr>
          </w:p>
        </w:tc>
      </w:tr>
      <w:tr>
        <w:trPr>
          <w:trHeight w:val="177"/>
        </w:trPr>
        <w:tc>
          <w:tcPr>
            <w:tcW w:w="5380" w:type="dxa"/>
            <w:vAlign w:val="bottom"/>
            <w:shd w:val="clear" w:color="auto" w:fill="CFF0FC"/>
          </w:tcPr>
          <w:p>
            <w:pPr>
              <w:spacing w:after="0"/>
              <w:rPr>
                <w:sz w:val="20"/>
                <w:szCs w:val="20"/>
                <w:color w:val="auto"/>
              </w:rPr>
            </w:pPr>
            <w:r>
              <w:rPr>
                <w:rFonts w:ascii="Arial" w:cs="Arial" w:eastAsia="Arial" w:hAnsi="Arial"/>
                <w:sz w:val="15"/>
                <w:szCs w:val="15"/>
                <w:color w:val="auto"/>
              </w:rPr>
              <w:t>Americas</w:t>
            </w:r>
          </w:p>
        </w:tc>
        <w:tc>
          <w:tcPr>
            <w:tcW w:w="240" w:type="dxa"/>
            <w:vAlign w:val="bottom"/>
            <w:shd w:val="clear" w:color="auto" w:fill="CFF0FC"/>
          </w:tcPr>
          <w:p>
            <w:pPr>
              <w:jc w:val="right"/>
              <w:ind w:right="128"/>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82,158</w:t>
            </w:r>
          </w:p>
        </w:tc>
        <w:tc>
          <w:tcPr>
            <w:tcW w:w="20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107"/>
              <w:spacing w:after="0"/>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64,352</w:t>
            </w:r>
          </w:p>
        </w:tc>
        <w:tc>
          <w:tcPr>
            <w:tcW w:w="140" w:type="dxa"/>
            <w:vAlign w:val="bottom"/>
            <w:shd w:val="clear" w:color="auto" w:fill="CFF0FC"/>
          </w:tcPr>
          <w:p>
            <w:pPr>
              <w:spacing w:after="0"/>
              <w:rPr>
                <w:sz w:val="15"/>
                <w:szCs w:val="15"/>
                <w:color w:val="auto"/>
              </w:rPr>
            </w:pPr>
          </w:p>
        </w:tc>
      </w:tr>
      <w:tr>
        <w:trPr>
          <w:trHeight w:val="186"/>
        </w:trPr>
        <w:tc>
          <w:tcPr>
            <w:tcW w:w="5380" w:type="dxa"/>
            <w:vAlign w:val="bottom"/>
          </w:tcPr>
          <w:p>
            <w:pPr>
              <w:spacing w:after="0"/>
              <w:rPr>
                <w:sz w:val="20"/>
                <w:szCs w:val="20"/>
                <w:color w:val="auto"/>
              </w:rPr>
            </w:pPr>
            <w:r>
              <w:rPr>
                <w:rFonts w:ascii="Arial" w:cs="Arial" w:eastAsia="Arial" w:hAnsi="Arial"/>
                <w:sz w:val="15"/>
                <w:szCs w:val="15"/>
                <w:color w:val="auto"/>
              </w:rPr>
              <w:t>Europe</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25,209</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13,844</w:t>
            </w:r>
          </w:p>
        </w:tc>
        <w:tc>
          <w:tcPr>
            <w:tcW w:w="140" w:type="dxa"/>
            <w:vAlign w:val="bottom"/>
          </w:tcPr>
          <w:p>
            <w:pPr>
              <w:spacing w:after="0"/>
              <w:rPr>
                <w:sz w:val="16"/>
                <w:szCs w:val="16"/>
                <w:color w:val="auto"/>
              </w:rPr>
            </w:pPr>
          </w:p>
        </w:tc>
      </w:tr>
      <w:tr>
        <w:trPr>
          <w:trHeight w:val="186"/>
        </w:trPr>
        <w:tc>
          <w:tcPr>
            <w:tcW w:w="5380" w:type="dxa"/>
            <w:vAlign w:val="bottom"/>
            <w:shd w:val="clear" w:color="auto" w:fill="CFF0FC"/>
          </w:tcPr>
          <w:p>
            <w:pPr>
              <w:spacing w:after="0"/>
              <w:rPr>
                <w:sz w:val="20"/>
                <w:szCs w:val="20"/>
                <w:color w:val="auto"/>
              </w:rPr>
            </w:pPr>
            <w:r>
              <w:rPr>
                <w:rFonts w:ascii="Arial" w:cs="Arial" w:eastAsia="Arial" w:hAnsi="Arial"/>
                <w:sz w:val="15"/>
                <w:szCs w:val="15"/>
                <w:color w:val="auto"/>
              </w:rPr>
              <w:t>Asia Pacific</w:t>
            </w:r>
          </w:p>
        </w:tc>
        <w:tc>
          <w:tcPr>
            <w:tcW w:w="24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7,189</w:t>
            </w:r>
          </w:p>
        </w:tc>
        <w:tc>
          <w:tcPr>
            <w:tcW w:w="2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4,056</w:t>
            </w:r>
          </w:p>
        </w:tc>
        <w:tc>
          <w:tcPr>
            <w:tcW w:w="140" w:type="dxa"/>
            <w:vAlign w:val="bottom"/>
            <w:shd w:val="clear" w:color="auto" w:fill="CFF0FC"/>
          </w:tcPr>
          <w:p>
            <w:pPr>
              <w:spacing w:after="0"/>
              <w:rPr>
                <w:sz w:val="16"/>
                <w:szCs w:val="16"/>
                <w:color w:val="auto"/>
              </w:rPr>
            </w:pPr>
          </w:p>
        </w:tc>
      </w:tr>
      <w:tr>
        <w:trPr>
          <w:trHeight w:val="217"/>
        </w:trPr>
        <w:tc>
          <w:tcPr>
            <w:tcW w:w="5380" w:type="dxa"/>
            <w:vAlign w:val="bottom"/>
            <w:tcBorders>
              <w:bottom w:val="single" w:sz="8" w:color="CFF0FC"/>
            </w:tcBorders>
          </w:tcPr>
          <w:p>
            <w:pPr>
              <w:ind w:left="200"/>
              <w:spacing w:after="0"/>
              <w:rPr>
                <w:sz w:val="20"/>
                <w:szCs w:val="20"/>
                <w:color w:val="auto"/>
              </w:rPr>
            </w:pPr>
            <w:r>
              <w:rPr>
                <w:rFonts w:ascii="Arial" w:cs="Arial" w:eastAsia="Arial" w:hAnsi="Arial"/>
                <w:sz w:val="15"/>
                <w:szCs w:val="15"/>
                <w:color w:val="auto"/>
              </w:rPr>
              <w:t>Total</w:t>
            </w:r>
          </w:p>
        </w:tc>
        <w:tc>
          <w:tcPr>
            <w:tcW w:w="24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114,556</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82,252</w:t>
            </w:r>
          </w:p>
        </w:tc>
        <w:tc>
          <w:tcPr>
            <w:tcW w:w="140" w:type="dxa"/>
            <w:vAlign w:val="bottom"/>
            <w:tcBorders>
              <w:bottom w:val="single" w:sz="8" w:color="CFF0FC"/>
            </w:tcBorders>
          </w:tcPr>
          <w:p>
            <w:pPr>
              <w:spacing w:after="0"/>
              <w:rPr>
                <w:sz w:val="18"/>
                <w:szCs w:val="18"/>
                <w:color w:val="auto"/>
              </w:rPr>
            </w:pPr>
          </w:p>
        </w:tc>
      </w:tr>
      <w:tr>
        <w:trPr>
          <w:trHeight w:val="159"/>
        </w:trPr>
        <w:tc>
          <w:tcPr>
            <w:tcW w:w="5380" w:type="dxa"/>
            <w:vAlign w:val="bottom"/>
            <w:shd w:val="clear" w:color="auto" w:fill="CFF0FC"/>
          </w:tcPr>
          <w:p>
            <w:pPr>
              <w:spacing w:after="0" w:line="159" w:lineRule="exact"/>
              <w:rPr>
                <w:sz w:val="20"/>
                <w:szCs w:val="20"/>
                <w:color w:val="auto"/>
              </w:rPr>
            </w:pPr>
            <w:r>
              <w:rPr>
                <w:rFonts w:ascii="Arial" w:cs="Arial" w:eastAsia="Arial" w:hAnsi="Arial"/>
                <w:sz w:val="15"/>
                <w:szCs w:val="15"/>
                <w:color w:val="auto"/>
              </w:rPr>
              <w:t>Percentage of revenues generated outside of the Americas</w:t>
            </w:r>
          </w:p>
        </w:tc>
        <w:tc>
          <w:tcPr>
            <w:tcW w:w="2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80"/>
              <w:spacing w:after="0" w:line="159" w:lineRule="exact"/>
              <w:rPr>
                <w:sz w:val="20"/>
                <w:szCs w:val="20"/>
                <w:color w:val="auto"/>
              </w:rPr>
            </w:pPr>
            <w:r>
              <w:rPr>
                <w:rFonts w:ascii="Arial" w:cs="Arial" w:eastAsia="Arial" w:hAnsi="Arial"/>
                <w:sz w:val="15"/>
                <w:szCs w:val="15"/>
                <w:color w:val="auto"/>
              </w:rPr>
              <w:t>28%</w:t>
            </w:r>
          </w:p>
        </w:tc>
        <w:tc>
          <w:tcPr>
            <w:tcW w:w="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0"/>
              <w:spacing w:after="0" w:line="159" w:lineRule="exact"/>
              <w:rPr>
                <w:sz w:val="20"/>
                <w:szCs w:val="20"/>
                <w:color w:val="auto"/>
              </w:rPr>
            </w:pPr>
            <w:r>
              <w:rPr>
                <w:rFonts w:ascii="Arial" w:cs="Arial" w:eastAsia="Arial" w:hAnsi="Arial"/>
                <w:sz w:val="15"/>
                <w:szCs w:val="15"/>
                <w:color w:val="auto"/>
              </w:rPr>
              <w:t>22%</w:t>
            </w:r>
          </w:p>
        </w:tc>
      </w:tr>
      <w:tr>
        <w:trPr>
          <w:trHeight w:val="20"/>
        </w:trPr>
        <w:tc>
          <w:tcPr>
            <w:tcW w:w="53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r>
    </w:tbl>
    <w:p>
      <w:pPr>
        <w:spacing w:after="0" w:line="198" w:lineRule="exact"/>
        <w:rPr>
          <w:sz w:val="20"/>
          <w:szCs w:val="20"/>
          <w:color w:val="auto"/>
        </w:rPr>
      </w:pPr>
    </w:p>
    <w:p>
      <w:pPr>
        <w:ind w:firstLine="520"/>
        <w:spacing w:after="0" w:line="263" w:lineRule="auto"/>
        <w:rPr>
          <w:sz w:val="20"/>
          <w:szCs w:val="20"/>
          <w:color w:val="auto"/>
        </w:rPr>
      </w:pPr>
      <w:r>
        <w:rPr>
          <w:rFonts w:ascii="Arial" w:cs="Arial" w:eastAsia="Arial" w:hAnsi="Arial"/>
          <w:sz w:val="15"/>
          <w:szCs w:val="15"/>
          <w:color w:val="auto"/>
        </w:rPr>
        <w:t>Revenue derived from customers outside the United States (international) was approximately 36% of total revenue in the three months ended March 31, 2018 and 30% of total revenue in the three months ended March 31, 2017.</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1390"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00"/>
          </w:cols>
          <w:pgMar w:left="220" w:top="465" w:right="279" w:bottom="1440" w:gutter="0" w:footer="0" w:header="0"/>
        </w:sectPr>
      </w:pPr>
    </w:p>
    <w:bookmarkStart w:id="19" w:name="page20"/>
    <w:bookmarkEnd w:id="19"/>
    <w:p>
      <w:pPr>
        <w:ind w:left="520"/>
        <w:spacing w:after="0"/>
        <w:rPr>
          <w:sz w:val="20"/>
          <w:szCs w:val="20"/>
          <w:color w:val="auto"/>
        </w:rPr>
      </w:pPr>
      <w:r>
        <w:rPr>
          <w:rFonts w:ascii="Arial" w:cs="Arial" w:eastAsia="Arial" w:hAnsi="Arial"/>
          <w:sz w:val="15"/>
          <w:szCs w:val="15"/>
          <w:color w:val="auto"/>
        </w:rPr>
        <w:t>Total long-lived assets by geographical region:</w:t>
      </w:r>
    </w:p>
    <w:p>
      <w:pPr>
        <w:spacing w:after="0" w:line="183" w:lineRule="exact"/>
        <w:rPr>
          <w:sz w:val="20"/>
          <w:szCs w:val="20"/>
          <w:color w:val="auto"/>
        </w:rPr>
      </w:pPr>
    </w:p>
    <w:tbl>
      <w:tblPr>
        <w:tblLayout w:type="fixed"/>
        <w:tblInd w:w="1740" w:type="dxa"/>
        <w:tblCellMar>
          <w:top w:w="0" w:type="dxa"/>
          <w:left w:w="0" w:type="dxa"/>
          <w:bottom w:w="0" w:type="dxa"/>
          <w:right w:w="0" w:type="dxa"/>
        </w:tblCellMar>
      </w:tblPr>
      <w:tr>
        <w:trPr>
          <w:trHeight w:val="138"/>
        </w:trPr>
        <w:tc>
          <w:tcPr>
            <w:tcW w:w="3120" w:type="dxa"/>
            <w:vAlign w:val="bottom"/>
            <w:tcBorders>
              <w:bottom w:val="single" w:sz="8" w:color="CFF0FC"/>
            </w:tcBorders>
          </w:tcPr>
          <w:p>
            <w:pPr>
              <w:spacing w:after="0"/>
              <w:rPr>
                <w:sz w:val="12"/>
                <w:szCs w:val="12"/>
                <w:color w:val="auto"/>
              </w:rPr>
            </w:pPr>
          </w:p>
        </w:tc>
        <w:tc>
          <w:tcPr>
            <w:tcW w:w="180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2"/>
                <w:szCs w:val="12"/>
                <w:b w:val="1"/>
                <w:bCs w:val="1"/>
                <w:color w:val="auto"/>
                <w:w w:val="87"/>
              </w:rPr>
              <w:t>As of March 31, 2018</w:t>
            </w:r>
          </w:p>
        </w:tc>
        <w:tc>
          <w:tcPr>
            <w:tcW w:w="26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2"/>
                <w:szCs w:val="12"/>
                <w:b w:val="1"/>
                <w:bCs w:val="1"/>
                <w:color w:val="auto"/>
                <w:w w:val="86"/>
              </w:rPr>
              <w:t>As of December 31, 2017</w:t>
            </w:r>
          </w:p>
        </w:tc>
        <w:tc>
          <w:tcPr>
            <w:tcW w:w="140" w:type="dxa"/>
            <w:vAlign w:val="bottom"/>
            <w:tcBorders>
              <w:bottom w:val="single" w:sz="8" w:color="CFF0FC"/>
            </w:tcBorders>
          </w:tcPr>
          <w:p>
            <w:pPr>
              <w:spacing w:after="0"/>
              <w:rPr>
                <w:sz w:val="12"/>
                <w:szCs w:val="12"/>
                <w:color w:val="auto"/>
              </w:rPr>
            </w:pPr>
          </w:p>
        </w:tc>
      </w:tr>
      <w:tr>
        <w:trPr>
          <w:trHeight w:val="177"/>
        </w:trPr>
        <w:tc>
          <w:tcPr>
            <w:tcW w:w="3120" w:type="dxa"/>
            <w:vAlign w:val="bottom"/>
            <w:shd w:val="clear" w:color="auto" w:fill="CFF0FC"/>
          </w:tcPr>
          <w:p>
            <w:pPr>
              <w:spacing w:after="0"/>
              <w:rPr>
                <w:sz w:val="20"/>
                <w:szCs w:val="20"/>
                <w:color w:val="auto"/>
              </w:rPr>
            </w:pPr>
            <w:r>
              <w:rPr>
                <w:rFonts w:ascii="Arial" w:cs="Arial" w:eastAsia="Arial" w:hAnsi="Arial"/>
                <w:sz w:val="15"/>
                <w:szCs w:val="15"/>
                <w:color w:val="auto"/>
              </w:rPr>
              <w:t>Americas</w:t>
            </w:r>
          </w:p>
        </w:tc>
        <w:tc>
          <w:tcPr>
            <w:tcW w:w="19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30,783</w:t>
            </w:r>
          </w:p>
        </w:tc>
        <w:tc>
          <w:tcPr>
            <w:tcW w:w="260" w:type="dxa"/>
            <w:vAlign w:val="bottom"/>
            <w:shd w:val="clear" w:color="auto" w:fill="CFF0FC"/>
          </w:tcPr>
          <w:p>
            <w:pPr>
              <w:spacing w:after="0"/>
              <w:rPr>
                <w:sz w:val="15"/>
                <w:szCs w:val="15"/>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29,764</w:t>
            </w:r>
          </w:p>
        </w:tc>
        <w:tc>
          <w:tcPr>
            <w:tcW w:w="140" w:type="dxa"/>
            <w:vAlign w:val="bottom"/>
            <w:shd w:val="clear" w:color="auto" w:fill="CFF0FC"/>
          </w:tcPr>
          <w:p>
            <w:pPr>
              <w:spacing w:after="0"/>
              <w:rPr>
                <w:sz w:val="15"/>
                <w:szCs w:val="15"/>
                <w:color w:val="auto"/>
              </w:rPr>
            </w:pPr>
          </w:p>
        </w:tc>
      </w:tr>
      <w:tr>
        <w:trPr>
          <w:trHeight w:val="186"/>
        </w:trPr>
        <w:tc>
          <w:tcPr>
            <w:tcW w:w="3120" w:type="dxa"/>
            <w:vAlign w:val="bottom"/>
          </w:tcPr>
          <w:p>
            <w:pPr>
              <w:spacing w:after="0"/>
              <w:rPr>
                <w:sz w:val="20"/>
                <w:szCs w:val="20"/>
                <w:color w:val="auto"/>
              </w:rPr>
            </w:pPr>
            <w:r>
              <w:rPr>
                <w:rFonts w:ascii="Arial" w:cs="Arial" w:eastAsia="Arial" w:hAnsi="Arial"/>
                <w:sz w:val="15"/>
                <w:szCs w:val="15"/>
                <w:color w:val="auto"/>
              </w:rPr>
              <w:t>Europe</w:t>
            </w: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14,802</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11,257</w:t>
            </w:r>
          </w:p>
        </w:tc>
        <w:tc>
          <w:tcPr>
            <w:tcW w:w="140" w:type="dxa"/>
            <w:vAlign w:val="bottom"/>
          </w:tcPr>
          <w:p>
            <w:pPr>
              <w:spacing w:after="0"/>
              <w:rPr>
                <w:sz w:val="16"/>
                <w:szCs w:val="16"/>
                <w:color w:val="auto"/>
              </w:rPr>
            </w:pPr>
          </w:p>
        </w:tc>
      </w:tr>
      <w:tr>
        <w:trPr>
          <w:trHeight w:val="186"/>
        </w:trPr>
        <w:tc>
          <w:tcPr>
            <w:tcW w:w="3120" w:type="dxa"/>
            <w:vAlign w:val="bottom"/>
            <w:shd w:val="clear" w:color="auto" w:fill="CFF0FC"/>
          </w:tcPr>
          <w:p>
            <w:pPr>
              <w:spacing w:after="0"/>
              <w:rPr>
                <w:sz w:val="20"/>
                <w:szCs w:val="20"/>
                <w:color w:val="auto"/>
              </w:rPr>
            </w:pPr>
            <w:r>
              <w:rPr>
                <w:rFonts w:ascii="Arial" w:cs="Arial" w:eastAsia="Arial" w:hAnsi="Arial"/>
                <w:sz w:val="15"/>
                <w:szCs w:val="15"/>
                <w:color w:val="auto"/>
              </w:rPr>
              <w:t>Asia Pacific</w:t>
            </w:r>
          </w:p>
        </w:tc>
        <w:tc>
          <w:tcPr>
            <w:tcW w:w="180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2,149</w:t>
            </w:r>
          </w:p>
        </w:tc>
        <w:tc>
          <w:tcPr>
            <w:tcW w:w="260" w:type="dxa"/>
            <w:vAlign w:val="bottom"/>
            <w:shd w:val="clear" w:color="auto" w:fill="CFF0FC"/>
          </w:tcPr>
          <w:p>
            <w:pPr>
              <w:spacing w:after="0"/>
              <w:rPr>
                <w:sz w:val="16"/>
                <w:szCs w:val="16"/>
                <w:color w:val="auto"/>
              </w:rPr>
            </w:pPr>
          </w:p>
        </w:tc>
        <w:tc>
          <w:tcPr>
            <w:tcW w:w="6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2,273</w:t>
            </w:r>
          </w:p>
        </w:tc>
        <w:tc>
          <w:tcPr>
            <w:tcW w:w="140" w:type="dxa"/>
            <w:vAlign w:val="bottom"/>
            <w:shd w:val="clear" w:color="auto" w:fill="CFF0FC"/>
          </w:tcPr>
          <w:p>
            <w:pPr>
              <w:spacing w:after="0"/>
              <w:rPr>
                <w:sz w:val="16"/>
                <w:szCs w:val="16"/>
                <w:color w:val="auto"/>
              </w:rPr>
            </w:pPr>
          </w:p>
        </w:tc>
      </w:tr>
      <w:tr>
        <w:trPr>
          <w:trHeight w:val="177"/>
        </w:trPr>
        <w:tc>
          <w:tcPr>
            <w:tcW w:w="3120" w:type="dxa"/>
            <w:vAlign w:val="bottom"/>
          </w:tcPr>
          <w:p>
            <w:pPr>
              <w:spacing w:after="0"/>
              <w:rPr>
                <w:sz w:val="20"/>
                <w:szCs w:val="20"/>
                <w:color w:val="auto"/>
              </w:rPr>
            </w:pPr>
            <w:r>
              <w:rPr>
                <w:rFonts w:ascii="Arial" w:cs="Arial" w:eastAsia="Arial" w:hAnsi="Arial"/>
                <w:sz w:val="15"/>
                <w:szCs w:val="15"/>
                <w:color w:val="auto"/>
              </w:rPr>
              <w:t>Total long-lived assets</w:t>
            </w:r>
          </w:p>
        </w:tc>
        <w:tc>
          <w:tcPr>
            <w:tcW w:w="19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47,734</w:t>
            </w:r>
          </w:p>
        </w:tc>
        <w:tc>
          <w:tcPr>
            <w:tcW w:w="26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43,294</w:t>
            </w:r>
          </w:p>
        </w:tc>
        <w:tc>
          <w:tcPr>
            <w:tcW w:w="140" w:type="dxa"/>
            <w:vAlign w:val="bottom"/>
          </w:tcPr>
          <w:p>
            <w:pPr>
              <w:spacing w:after="0"/>
              <w:rPr>
                <w:sz w:val="15"/>
                <w:szCs w:val="15"/>
                <w:color w:val="auto"/>
              </w:rPr>
            </w:pPr>
          </w:p>
        </w:tc>
      </w:tr>
      <w:tr>
        <w:trPr>
          <w:trHeight w:val="20"/>
        </w:trPr>
        <w:tc>
          <w:tcPr>
            <w:tcW w:w="3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1098550</wp:posOffset>
            </wp:positionH>
            <wp:positionV relativeFrom="paragraph">
              <wp:posOffset>-13335</wp:posOffset>
            </wp:positionV>
            <wp:extent cx="5085080" cy="2508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085080" cy="2508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6"/>
        </w:trPr>
        <w:tc>
          <w:tcPr>
            <w:tcW w:w="5160" w:type="dxa"/>
            <w:vAlign w:val="bottom"/>
          </w:tcPr>
          <w:p>
            <w:pPr>
              <w:ind w:left="1740"/>
              <w:spacing w:after="0"/>
              <w:rPr>
                <w:sz w:val="20"/>
                <w:szCs w:val="20"/>
                <w:color w:val="auto"/>
              </w:rPr>
            </w:pPr>
            <w:r>
              <w:rPr>
                <w:rFonts w:ascii="Arial" w:cs="Arial" w:eastAsia="Arial" w:hAnsi="Arial"/>
                <w:sz w:val="15"/>
                <w:szCs w:val="15"/>
                <w:color w:val="auto"/>
              </w:rPr>
              <w:t>Percentage of long-lived assets held outside of the</w:t>
            </w: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160" w:type="dxa"/>
            <w:vAlign w:val="bottom"/>
          </w:tcPr>
          <w:p>
            <w:pPr>
              <w:ind w:left="1840"/>
              <w:spacing w:after="0"/>
              <w:rPr>
                <w:sz w:val="20"/>
                <w:szCs w:val="20"/>
                <w:color w:val="auto"/>
              </w:rPr>
            </w:pPr>
            <w:r>
              <w:rPr>
                <w:rFonts w:ascii="Arial" w:cs="Arial" w:eastAsia="Arial" w:hAnsi="Arial"/>
                <w:sz w:val="15"/>
                <w:szCs w:val="15"/>
                <w:color w:val="auto"/>
              </w:rPr>
              <w:t>Americas</w:t>
            </w:r>
          </w:p>
        </w:tc>
        <w:tc>
          <w:tcPr>
            <w:tcW w:w="3040" w:type="dxa"/>
            <w:vAlign w:val="bottom"/>
            <w:gridSpan w:val="3"/>
          </w:tcPr>
          <w:p>
            <w:pPr>
              <w:jc w:val="right"/>
              <w:ind w:right="140"/>
              <w:spacing w:after="0"/>
              <w:rPr>
                <w:sz w:val="20"/>
                <w:szCs w:val="20"/>
                <w:color w:val="auto"/>
              </w:rPr>
            </w:pPr>
            <w:r>
              <w:rPr>
                <w:rFonts w:ascii="Arial" w:cs="Arial" w:eastAsia="Arial" w:hAnsi="Arial"/>
                <w:sz w:val="15"/>
                <w:szCs w:val="15"/>
                <w:color w:val="auto"/>
              </w:rPr>
              <w:t>36%</w:t>
            </w:r>
          </w:p>
        </w:tc>
        <w:tc>
          <w:tcPr>
            <w:tcW w:w="3280" w:type="dxa"/>
            <w:vAlign w:val="bottom"/>
            <w:gridSpan w:val="2"/>
          </w:tcPr>
          <w:p>
            <w:pPr>
              <w:jc w:val="right"/>
              <w:ind w:right="1760"/>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vMerge w:val="restart"/>
          </w:tcPr>
          <w:p>
            <w:pPr>
              <w:jc w:val="right"/>
              <w:ind w:right="787"/>
              <w:spacing w:after="0"/>
              <w:rPr>
                <w:sz w:val="20"/>
                <w:szCs w:val="20"/>
                <w:color w:val="auto"/>
              </w:rPr>
            </w:pPr>
            <w:r>
              <w:rPr>
                <w:rFonts w:ascii="Arial" w:cs="Arial" w:eastAsia="Arial" w:hAnsi="Arial"/>
                <w:sz w:val="15"/>
                <w:szCs w:val="15"/>
                <w:color w:val="auto"/>
              </w:rPr>
              <w:t>20</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3"/>
        </w:trPr>
        <w:tc>
          <w:tcPr>
            <w:tcW w:w="516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516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18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-26035</wp:posOffset>
            </wp:positionV>
            <wp:extent cx="32385"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480" w:right="199" w:bottom="1440" w:gutter="0" w:footer="0" w:header="0"/>
        </w:sectPr>
      </w:pPr>
    </w:p>
    <w:bookmarkStart w:id="20" w:name="page21"/>
    <w:bookmarkEnd w:id="20"/>
    <w:p>
      <w:pPr>
        <w:spacing w:after="0"/>
        <w:tabs>
          <w:tab w:leader="none" w:pos="1020"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3"/>
          <w:szCs w:val="13"/>
          <w:b w:val="1"/>
          <w:bCs w:val="1"/>
          <w:color w:val="auto"/>
        </w:rPr>
        <w:t>Management’s Discussion and Analysis of Financial Condition and Results of Operations</w:t>
      </w:r>
    </w:p>
    <w:p>
      <w:pPr>
        <w:spacing w:after="0" w:line="95" w:lineRule="exact"/>
        <w:rPr>
          <w:sz w:val="20"/>
          <w:szCs w:val="20"/>
          <w:color w:val="auto"/>
        </w:rPr>
      </w:pPr>
    </w:p>
    <w:p>
      <w:pPr>
        <w:ind w:right="40" w:firstLine="520"/>
        <w:spacing w:after="0" w:line="296" w:lineRule="auto"/>
        <w:rPr>
          <w:sz w:val="20"/>
          <w:szCs w:val="20"/>
          <w:color w:val="auto"/>
        </w:rPr>
      </w:pPr>
      <w:r>
        <w:rPr>
          <w:rFonts w:ascii="Arial" w:cs="Arial" w:eastAsia="Arial" w:hAnsi="Arial"/>
          <w:sz w:val="13"/>
          <w:szCs w:val="13"/>
          <w:i w:val="1"/>
          <w:iCs w:val="1"/>
          <w:color w:val="auto"/>
        </w:rPr>
        <w:t>The following discussion and analysis of our financial condition and results of operations should be read in conjunction with our consolidated financial statements and related notes appearing elsewhere in this Quarterly Report on Form 10-Q and our Annual Report on Form 10-K for the year ended December 31, 2017 filed with the SEC on February 13, 2018.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83" w:lineRule="exact"/>
        <w:rPr>
          <w:sz w:val="20"/>
          <w:szCs w:val="20"/>
          <w:color w:val="auto"/>
        </w:rPr>
      </w:pPr>
    </w:p>
    <w:p>
      <w:pPr>
        <w:ind w:right="60" w:firstLine="520"/>
        <w:spacing w:after="0" w:line="271" w:lineRule="auto"/>
        <w:rPr>
          <w:sz w:val="20"/>
          <w:szCs w:val="20"/>
          <w:color w:val="auto"/>
        </w:rPr>
      </w:pPr>
      <w:r>
        <w:rPr>
          <w:rFonts w:ascii="Arial" w:cs="Arial" w:eastAsia="Arial" w:hAnsi="Arial"/>
          <w:sz w:val="14"/>
          <w:szCs w:val="14"/>
          <w:color w:val="auto"/>
        </w:rPr>
        <w:t>We provide a cloud-based marketing, sales and customer service software platform, which we refer to as our Software Platform, that enables businesses to deliver an inbound experience. An inbound marketing, sales and customer service experience attracts, engages and delights customers by being more relevant, more helpful, more personalized and less interruptive than traditional marketing, sales and customer service tactics. Our Software Platform features integrated applications to help businesses attract visitors to their websites, convert visitors into leads, close leads into customers and delight customers so that they become promoters of those businesses. These integrated applications include social media, search engine optimization, blogging, website content management, marketing automation, email, sales productivity, CRM, analytics, reporting, helpdesk, chat, and knowledge base.</w:t>
      </w:r>
    </w:p>
    <w:p>
      <w:pPr>
        <w:spacing w:after="0" w:line="144" w:lineRule="exact"/>
        <w:rPr>
          <w:sz w:val="20"/>
          <w:szCs w:val="20"/>
          <w:color w:val="auto"/>
        </w:rPr>
      </w:pPr>
    </w:p>
    <w:p>
      <w:pPr>
        <w:ind w:right="80" w:firstLine="554"/>
        <w:spacing w:after="0" w:line="249" w:lineRule="auto"/>
        <w:rPr>
          <w:sz w:val="20"/>
          <w:szCs w:val="20"/>
          <w:color w:val="auto"/>
        </w:rPr>
      </w:pPr>
      <w:r>
        <w:rPr>
          <w:rFonts w:ascii="Arial" w:cs="Arial" w:eastAsia="Arial" w:hAnsi="Arial"/>
          <w:sz w:val="15"/>
          <w:szCs w:val="15"/>
          <w:color w:val="auto"/>
        </w:rPr>
        <w:t>While our Software Platform can scale to the enterprise, we focus on selling to mid-market businesses because we believe we have significant competitive advantages attracting and serving them. We efficiently reach these businesses at scale through our proven inbound go-to-market approach and our marketing agency and sales partners, which we refer to as Partners. Our Software Platform is particularly suited to serving the needs of mid-market business-to-business companies. These mid-market businesses seek an integrated, easy to implement and easy to use solution to reach customers and compete with organizations that have larger marketing, sales and customer service budgets. As of March 31, 2018, we had 44,894 total customers of varying sizes in more than 90 countries, representing almost every industry.</w:t>
      </w:r>
    </w:p>
    <w:p>
      <w:pPr>
        <w:spacing w:after="0" w:line="158" w:lineRule="exact"/>
        <w:rPr>
          <w:sz w:val="20"/>
          <w:szCs w:val="20"/>
          <w:color w:val="auto"/>
        </w:rPr>
      </w:pPr>
    </w:p>
    <w:p>
      <w:pPr>
        <w:ind w:right="160" w:firstLine="520"/>
        <w:spacing w:after="0" w:line="248" w:lineRule="auto"/>
        <w:rPr>
          <w:sz w:val="20"/>
          <w:szCs w:val="20"/>
          <w:color w:val="auto"/>
        </w:rPr>
      </w:pPr>
      <w:r>
        <w:rPr>
          <w:rFonts w:ascii="Arial" w:cs="Arial" w:eastAsia="Arial" w:hAnsi="Arial"/>
          <w:sz w:val="15"/>
          <w:szCs w:val="15"/>
          <w:color w:val="auto"/>
        </w:rPr>
        <w:t>We derive most of our revenue from subscriptions to our cloud-based software platform and related professional services, which consist of customer on-boarding and training services. Subscription revenue accounted for 95% of our total revenue in the months ended March 31, 2018 and 94% of our total revenue in the three months ended March 31, 2017. We sell multiple product plans at different base prices on a subscription basis, each of which includes our core Software Platform and integrated applications to meet the needs of the various customers we serve. Customers pay additional fees if the number of contacts stored and tracked in the customer’s database exceeds specified thresholds. We generate additional revenue based on the purchase of additional subscriptions, purchase of additional products, purchases of our add-on products and the number of account users, subdomains and website visits. Substantially all of our customers’ subscriptions are one year or less in duration.</w:t>
      </w:r>
    </w:p>
    <w:p>
      <w:pPr>
        <w:spacing w:after="0" w:line="159" w:lineRule="exact"/>
        <w:rPr>
          <w:sz w:val="20"/>
          <w:szCs w:val="20"/>
          <w:color w:val="auto"/>
        </w:rPr>
      </w:pPr>
    </w:p>
    <w:p>
      <w:pPr>
        <w:ind w:right="180" w:firstLine="520"/>
        <w:spacing w:after="0" w:line="253" w:lineRule="auto"/>
        <w:rPr>
          <w:sz w:val="20"/>
          <w:szCs w:val="20"/>
          <w:color w:val="auto"/>
        </w:rPr>
      </w:pPr>
      <w:r>
        <w:rPr>
          <w:rFonts w:ascii="Arial" w:cs="Arial" w:eastAsia="Arial" w:hAnsi="Arial"/>
          <w:sz w:val="15"/>
          <w:szCs w:val="15"/>
          <w:color w:val="auto"/>
        </w:rPr>
        <w:t>Subscriptions are non-cancelable and are billed in advance on various schedules. Because the mix of billing terms for orders can vary from period to period, the annualized value of the orders we enter into with our customers will not be completely reflected in deferred revenue at any single point in time. Accordingly, we do not believe that change in deferred revenue is an accurate indicator of future revenue for a given period of time.</w:t>
      </w:r>
    </w:p>
    <w:p>
      <w:pPr>
        <w:spacing w:after="0" w:line="157" w:lineRule="exact"/>
        <w:rPr>
          <w:sz w:val="20"/>
          <w:szCs w:val="20"/>
          <w:color w:val="auto"/>
        </w:rPr>
      </w:pPr>
    </w:p>
    <w:p>
      <w:pPr>
        <w:ind w:right="160" w:firstLine="520"/>
        <w:spacing w:after="0" w:line="280" w:lineRule="auto"/>
        <w:rPr>
          <w:sz w:val="20"/>
          <w:szCs w:val="20"/>
          <w:color w:val="auto"/>
        </w:rPr>
      </w:pPr>
      <w:r>
        <w:rPr>
          <w:rFonts w:ascii="Arial" w:cs="Arial" w:eastAsia="Arial" w:hAnsi="Arial"/>
          <w:sz w:val="14"/>
          <w:szCs w:val="14"/>
          <w:color w:val="auto"/>
        </w:rPr>
        <w:t>Many of our customers purchase on-boarding and training services which are designed to help customers enhance their ability to attract, engage and delight their customers using our platform. Professional services and other revenue accounted 5% of our total revenue in the three months ended March 31, 2018 and 6% of our total revenue in the three months ended March 31, 2017. We expect professional services and other margins to range from a moderate loss to breakeven for the foreseeable future.</w:t>
      </w:r>
    </w:p>
    <w:p>
      <w:pPr>
        <w:spacing w:after="0" w:line="139" w:lineRule="exact"/>
        <w:rPr>
          <w:sz w:val="20"/>
          <w:szCs w:val="20"/>
          <w:color w:val="auto"/>
        </w:rPr>
      </w:pPr>
    </w:p>
    <w:p>
      <w:pPr>
        <w:ind w:firstLine="520"/>
        <w:spacing w:after="0" w:line="290" w:lineRule="auto"/>
        <w:rPr>
          <w:sz w:val="20"/>
          <w:szCs w:val="20"/>
          <w:color w:val="auto"/>
        </w:rPr>
      </w:pPr>
      <w:r>
        <w:rPr>
          <w:rFonts w:ascii="Arial" w:cs="Arial" w:eastAsia="Arial" w:hAnsi="Arial"/>
          <w:sz w:val="13"/>
          <w:szCs w:val="13"/>
          <w:color w:val="auto"/>
        </w:rPr>
        <w:t>We have focused on rapidly growing our business and plan to continue to make investments to help us address some of the challenges facing us to support this growth, such as demand for our platform by existing and new customers, significant competition from other providers of marketing, sales and customer service software and related applications and rapid technological change in our industry. We believe that the growth of our business is dependent on many factors, including our ability to expand our customer base, increase adoption of our Software Platform within existing customers, develop new products and applications to extend the functionality of our Software Platform and provide a high level of customer service. We expect to increase our investment in sales and marketing as we continue to expand our sales teams, increase our marketing activities and grow our international operations. We also expect to increase our investment in research and development as we continue to introduce new products and applications to extend the functionality of our Software Platform. We also intend to invest in maintaining a high level of customer service and support which we consider critical for our continued success. We plan to continue investing in our data center infrastructure and services capabilities in order to support continued future customer growth. We also expect to continue to incur additional general and administrative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1390"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60"/>
          </w:cols>
          <w:pgMar w:left="220" w:top="300" w:right="219" w:bottom="1440" w:gutter="0" w:footer="0" w:header="0"/>
        </w:sectPr>
      </w:pPr>
    </w:p>
    <w:bookmarkStart w:id="21" w:name="page22"/>
    <w:bookmarkEnd w:id="21"/>
    <w:p>
      <w:pPr>
        <w:ind w:right="320"/>
        <w:spacing w:after="0" w:line="263" w:lineRule="auto"/>
        <w:rPr>
          <w:sz w:val="20"/>
          <w:szCs w:val="20"/>
          <w:color w:val="auto"/>
        </w:rPr>
      </w:pPr>
      <w:r>
        <w:rPr>
          <w:rFonts w:ascii="Arial" w:cs="Arial" w:eastAsia="Arial" w:hAnsi="Arial"/>
          <w:sz w:val="15"/>
          <w:szCs w:val="15"/>
          <w:color w:val="auto"/>
        </w:rPr>
        <w:t>expenses as a result of both our growth and the infrastructure required to be a public company. We expect to use our cash flow from operations and the proceeds from our convertible debt and prior stock offerings to fund these growth strategies and do not expect to be profitable in the near term.</w:t>
      </w:r>
    </w:p>
    <w:p>
      <w:pPr>
        <w:spacing w:after="0" w:line="149" w:lineRule="exact"/>
        <w:rPr>
          <w:sz w:val="20"/>
          <w:szCs w:val="20"/>
          <w:color w:val="auto"/>
        </w:rPr>
      </w:pPr>
    </w:p>
    <w:p>
      <w:pPr>
        <w:ind w:right="40" w:firstLine="520"/>
        <w:spacing w:after="0" w:line="250" w:lineRule="auto"/>
        <w:rPr>
          <w:sz w:val="20"/>
          <w:szCs w:val="20"/>
          <w:color w:val="auto"/>
        </w:rPr>
      </w:pPr>
      <w:r>
        <w:rPr>
          <w:rFonts w:ascii="Arial" w:cs="Arial" w:eastAsia="Arial" w:hAnsi="Arial"/>
          <w:sz w:val="15"/>
          <w:szCs w:val="15"/>
          <w:color w:val="auto"/>
        </w:rPr>
        <w:t>We believe that these investments will result in an increase in our subscription revenue base. This will result in revenue increasing faster than the increase in sales and marketing, research and development and general and administrative expenses, exclusive of stock-based compensation, as we reach economies of scale. With this increased operating leverage, we expect our operating margins to increase in the long term. However, we will incur losses in the short term. If we are unable to achieve our revenue growth objectives, including a high rate of renewals of our customer agreements, we may not be able to achieve profitability.</w:t>
      </w: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 for the Three Months Ended March 31, 2018 and 2017</w:t>
      </w:r>
    </w:p>
    <w:p>
      <w:pPr>
        <w:spacing w:after="0" w:line="95" w:lineRule="exact"/>
        <w:rPr>
          <w:sz w:val="20"/>
          <w:szCs w:val="20"/>
          <w:color w:val="auto"/>
        </w:rPr>
      </w:pPr>
    </w:p>
    <w:p>
      <w:pPr>
        <w:ind w:right="160" w:firstLine="520"/>
        <w:spacing w:after="0" w:line="250" w:lineRule="auto"/>
        <w:rPr>
          <w:sz w:val="20"/>
          <w:szCs w:val="20"/>
          <w:color w:val="auto"/>
        </w:rPr>
      </w:pPr>
      <w:r>
        <w:rPr>
          <w:rFonts w:ascii="Arial" w:cs="Arial" w:eastAsia="Arial" w:hAnsi="Arial"/>
          <w:sz w:val="15"/>
          <w:szCs w:val="15"/>
          <w:color w:val="auto"/>
        </w:rPr>
        <w:t>The following tables set forth our results of operations for the periods presented and as a percentage of our total revenue for those periods. The data has been derived from the unaudited consolidated financial statements contained in this Quarterly Report on Form 10-Q which include, in our opinion, all adjustments, consisting only of normal recurring adjustments, that we consider necessary for a fair statement of the financial position and results of operations for the interim periods presented. The period-to-period comparison of financial results is not necessarily indicative of financial results to be achieved in future periods.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40" w:type="dxa"/>
            <w:vAlign w:val="bottom"/>
            <w:gridSpan w:val="5"/>
          </w:tcPr>
          <w:p>
            <w:pPr>
              <w:jc w:val="center"/>
              <w:ind w:right="300"/>
              <w:spacing w:after="0"/>
              <w:rPr>
                <w:sz w:val="20"/>
                <w:szCs w:val="20"/>
                <w:color w:val="auto"/>
              </w:rPr>
            </w:pPr>
            <w:r>
              <w:rPr>
                <w:rFonts w:ascii="Arial" w:cs="Arial" w:eastAsia="Arial" w:hAnsi="Arial"/>
                <w:sz w:val="12"/>
                <w:szCs w:val="12"/>
                <w:b w:val="1"/>
                <w:bCs w:val="1"/>
                <w:color w:val="auto"/>
                <w:w w:val="90"/>
              </w:rPr>
              <w:t>For the Three Months Ended March 31,</w:t>
            </w: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740" w:type="dxa"/>
            <w:vAlign w:val="bottom"/>
          </w:tcPr>
          <w:p>
            <w:pPr>
              <w:spacing w:after="0"/>
              <w:rPr>
                <w:sz w:val="10"/>
                <w:szCs w:val="10"/>
                <w:color w:val="auto"/>
              </w:rPr>
            </w:pPr>
          </w:p>
        </w:tc>
        <w:tc>
          <w:tcPr>
            <w:tcW w:w="3000" w:type="dxa"/>
            <w:vAlign w:val="bottom"/>
            <w:tcBorders>
              <w:bottom w:val="single" w:sz="8" w:color="CFF0FC"/>
            </w:tcBorders>
          </w:tcPr>
          <w:p>
            <w:pPr>
              <w:spacing w:after="0"/>
              <w:rPr>
                <w:sz w:val="10"/>
                <w:szCs w:val="10"/>
                <w:color w:val="auto"/>
              </w:rPr>
            </w:pPr>
          </w:p>
        </w:tc>
        <w:tc>
          <w:tcPr>
            <w:tcW w:w="2260" w:type="dxa"/>
            <w:vAlign w:val="bottom"/>
            <w:tcBorders>
              <w:bottom w:val="single" w:sz="8" w:color="CFF0FC"/>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ind w:right="368"/>
              <w:spacing w:after="0" w:line="123" w:lineRule="exact"/>
              <w:rPr>
                <w:sz w:val="20"/>
                <w:szCs w:val="20"/>
                <w:color w:val="auto"/>
              </w:rPr>
            </w:pPr>
            <w:r>
              <w:rPr>
                <w:rFonts w:ascii="Arial" w:cs="Arial" w:eastAsia="Arial" w:hAnsi="Arial"/>
                <w:sz w:val="12"/>
                <w:szCs w:val="12"/>
                <w:b w:val="1"/>
                <w:bCs w:val="1"/>
                <w:color w:val="auto"/>
              </w:rPr>
              <w:t>2018</w:t>
            </w:r>
          </w:p>
        </w:tc>
        <w:tc>
          <w:tcPr>
            <w:tcW w:w="200" w:type="dxa"/>
            <w:vAlign w:val="bottom"/>
            <w:tcBorders>
              <w:top w:val="single" w:sz="8" w:color="auto"/>
              <w:bottom w:val="single" w:sz="8" w:color="CFF0FC"/>
            </w:tcBorders>
          </w:tcPr>
          <w:p>
            <w:pPr>
              <w:spacing w:after="0"/>
              <w:rPr>
                <w:sz w:val="10"/>
                <w:szCs w:val="10"/>
                <w:color w:val="auto"/>
              </w:rPr>
            </w:pPr>
          </w:p>
        </w:tc>
        <w:tc>
          <w:tcPr>
            <w:tcW w:w="320" w:type="dxa"/>
            <w:vAlign w:val="bottom"/>
            <w:tcBorders>
              <w:top w:val="single" w:sz="8" w:color="auto"/>
              <w:bottom w:val="single" w:sz="8" w:color="auto"/>
            </w:tcBorders>
          </w:tcPr>
          <w:p>
            <w:pPr>
              <w:spacing w:after="0"/>
              <w:rPr>
                <w:sz w:val="10"/>
                <w:szCs w:val="10"/>
                <w:color w:val="auto"/>
              </w:rPr>
            </w:pPr>
          </w:p>
        </w:tc>
        <w:tc>
          <w:tcPr>
            <w:tcW w:w="1040" w:type="dxa"/>
            <w:vAlign w:val="bottom"/>
            <w:tcBorders>
              <w:top w:val="single" w:sz="8" w:color="auto"/>
              <w:bottom w:val="single" w:sz="8" w:color="auto"/>
            </w:tcBorders>
          </w:tcPr>
          <w:p>
            <w:pPr>
              <w:jc w:val="right"/>
              <w:ind w:right="508"/>
              <w:spacing w:after="0" w:line="123" w:lineRule="exact"/>
              <w:rPr>
                <w:sz w:val="20"/>
                <w:szCs w:val="20"/>
                <w:color w:val="auto"/>
              </w:rPr>
            </w:pPr>
            <w:r>
              <w:rPr>
                <w:rFonts w:ascii="Arial" w:cs="Arial" w:eastAsia="Arial" w:hAnsi="Arial"/>
                <w:sz w:val="12"/>
                <w:szCs w:val="12"/>
                <w:b w:val="1"/>
                <w:bCs w:val="1"/>
                <w:color w:val="auto"/>
              </w:rPr>
              <w:t>2017</w:t>
            </w:r>
          </w:p>
        </w:tc>
        <w:tc>
          <w:tcPr>
            <w:tcW w:w="80" w:type="dxa"/>
            <w:vAlign w:val="bottom"/>
            <w:tcBorders>
              <w:bottom w:val="single" w:sz="8" w:color="CFF0FC"/>
            </w:tcBorders>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740" w:type="dxa"/>
            <w:vAlign w:val="bottom"/>
          </w:tcPr>
          <w:p>
            <w:pPr>
              <w:spacing w:after="0"/>
              <w:rPr>
                <w:sz w:val="15"/>
                <w:szCs w:val="15"/>
                <w:color w:val="auto"/>
              </w:rPr>
            </w:pPr>
          </w:p>
        </w:tc>
        <w:tc>
          <w:tcPr>
            <w:tcW w:w="3000" w:type="dxa"/>
            <w:vAlign w:val="bottom"/>
            <w:shd w:val="clear" w:color="auto" w:fill="CFF0FC"/>
          </w:tcPr>
          <w:p>
            <w:pPr>
              <w:spacing w:after="0"/>
              <w:rPr>
                <w:sz w:val="20"/>
                <w:szCs w:val="20"/>
                <w:color w:val="auto"/>
              </w:rPr>
            </w:pPr>
            <w:r>
              <w:rPr>
                <w:rFonts w:ascii="Arial" w:cs="Arial" w:eastAsia="Arial" w:hAnsi="Arial"/>
                <w:sz w:val="15"/>
                <w:szCs w:val="15"/>
                <w:color w:val="auto"/>
              </w:rPr>
              <w:t>Revenues:</w:t>
            </w:r>
          </w:p>
        </w:tc>
        <w:tc>
          <w:tcPr>
            <w:tcW w:w="2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740" w:type="dxa"/>
            <w:vAlign w:val="bottom"/>
          </w:tcPr>
          <w:p>
            <w:pPr>
              <w:spacing w:after="0"/>
              <w:rPr>
                <w:sz w:val="16"/>
                <w:szCs w:val="16"/>
                <w:color w:val="auto"/>
              </w:rPr>
            </w:pPr>
          </w:p>
        </w:tc>
        <w:tc>
          <w:tcPr>
            <w:tcW w:w="3000" w:type="dxa"/>
            <w:vAlign w:val="bottom"/>
          </w:tcPr>
          <w:p>
            <w:pPr>
              <w:ind w:left="200"/>
              <w:spacing w:after="0"/>
              <w:rPr>
                <w:sz w:val="20"/>
                <w:szCs w:val="20"/>
                <w:color w:val="auto"/>
              </w:rPr>
            </w:pPr>
            <w:r>
              <w:rPr>
                <w:rFonts w:ascii="Arial" w:cs="Arial" w:eastAsia="Arial" w:hAnsi="Arial"/>
                <w:sz w:val="15"/>
                <w:szCs w:val="15"/>
                <w:color w:val="auto"/>
              </w:rPr>
              <w:t>Subscription</w:t>
            </w:r>
          </w:p>
        </w:tc>
        <w:tc>
          <w:tcPr>
            <w:tcW w:w="2460" w:type="dxa"/>
            <w:vAlign w:val="bottom"/>
            <w:gridSpan w:val="2"/>
          </w:tcPr>
          <w:p>
            <w:pPr>
              <w:jc w:val="right"/>
              <w:ind w:right="47"/>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108,602</w:t>
            </w:r>
          </w:p>
        </w:tc>
        <w:tc>
          <w:tcPr>
            <w:tcW w:w="200" w:type="dxa"/>
            <w:vAlign w:val="bottom"/>
          </w:tcPr>
          <w:p>
            <w:pPr>
              <w:spacing w:after="0"/>
              <w:rPr>
                <w:sz w:val="16"/>
                <w:szCs w:val="16"/>
                <w:color w:val="auto"/>
              </w:rPr>
            </w:pPr>
          </w:p>
        </w:tc>
        <w:tc>
          <w:tcPr>
            <w:tcW w:w="320" w:type="dxa"/>
            <w:vAlign w:val="bottom"/>
          </w:tcPr>
          <w:p>
            <w:pPr>
              <w:jc w:val="center"/>
              <w:ind w:right="167"/>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77,503</w:t>
            </w: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740" w:type="dxa"/>
            <w:vAlign w:val="bottom"/>
          </w:tcPr>
          <w:p>
            <w:pPr>
              <w:spacing w:after="0"/>
              <w:rPr>
                <w:sz w:val="16"/>
                <w:szCs w:val="16"/>
                <w:color w:val="auto"/>
              </w:rPr>
            </w:pPr>
          </w:p>
        </w:tc>
        <w:tc>
          <w:tcPr>
            <w:tcW w:w="30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Professional services and other</w:t>
            </w:r>
          </w:p>
        </w:tc>
        <w:tc>
          <w:tcPr>
            <w:tcW w:w="226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5,954</w:t>
            </w:r>
          </w:p>
        </w:tc>
        <w:tc>
          <w:tcPr>
            <w:tcW w:w="200" w:type="dxa"/>
            <w:vAlign w:val="bottom"/>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4,749</w:t>
            </w:r>
          </w:p>
        </w:tc>
        <w:tc>
          <w:tcPr>
            <w:tcW w:w="80" w:type="dxa"/>
            <w:vAlign w:val="bottom"/>
            <w:shd w:val="clear" w:color="auto" w:fill="CFF0FC"/>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740" w:type="dxa"/>
            <w:vAlign w:val="bottom"/>
          </w:tcPr>
          <w:p>
            <w:pPr>
              <w:spacing w:after="0"/>
              <w:rPr>
                <w:sz w:val="15"/>
                <w:szCs w:val="15"/>
                <w:color w:val="auto"/>
              </w:rPr>
            </w:pPr>
          </w:p>
        </w:tc>
        <w:tc>
          <w:tcPr>
            <w:tcW w:w="3000" w:type="dxa"/>
            <w:vAlign w:val="bottom"/>
            <w:tcBorders>
              <w:bottom w:val="single" w:sz="8" w:color="CFF0FC"/>
            </w:tcBorders>
          </w:tcPr>
          <w:p>
            <w:pPr>
              <w:ind w:left="600"/>
              <w:spacing w:after="0"/>
              <w:rPr>
                <w:sz w:val="20"/>
                <w:szCs w:val="20"/>
                <w:color w:val="auto"/>
              </w:rPr>
            </w:pPr>
            <w:r>
              <w:rPr>
                <w:rFonts w:ascii="Arial" w:cs="Arial" w:eastAsia="Arial" w:hAnsi="Arial"/>
                <w:sz w:val="15"/>
                <w:szCs w:val="15"/>
                <w:color w:val="auto"/>
              </w:rPr>
              <w:t>Total revenue</w:t>
            </w:r>
          </w:p>
        </w:tc>
        <w:tc>
          <w:tcPr>
            <w:tcW w:w="226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114,556</w:t>
            </w:r>
          </w:p>
        </w:tc>
        <w:tc>
          <w:tcPr>
            <w:tcW w:w="20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82,252</w:t>
            </w:r>
          </w:p>
        </w:tc>
        <w:tc>
          <w:tcPr>
            <w:tcW w:w="80" w:type="dxa"/>
            <w:vAlign w:val="bottom"/>
            <w:tcBorders>
              <w:bottom w:val="single" w:sz="8" w:color="CFF0FC"/>
            </w:tcBorders>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740" w:type="dxa"/>
            <w:vAlign w:val="bottom"/>
          </w:tcPr>
          <w:p>
            <w:pPr>
              <w:spacing w:after="0"/>
              <w:rPr>
                <w:sz w:val="15"/>
                <w:szCs w:val="15"/>
                <w:color w:val="auto"/>
              </w:rPr>
            </w:pPr>
          </w:p>
        </w:tc>
        <w:tc>
          <w:tcPr>
            <w:tcW w:w="3000" w:type="dxa"/>
            <w:vAlign w:val="bottom"/>
            <w:shd w:val="clear" w:color="auto" w:fill="CFF0FC"/>
          </w:tcPr>
          <w:p>
            <w:pPr>
              <w:spacing w:after="0"/>
              <w:rPr>
                <w:sz w:val="20"/>
                <w:szCs w:val="20"/>
                <w:color w:val="auto"/>
              </w:rPr>
            </w:pPr>
            <w:r>
              <w:rPr>
                <w:rFonts w:ascii="Arial" w:cs="Arial" w:eastAsia="Arial" w:hAnsi="Arial"/>
                <w:sz w:val="15"/>
                <w:szCs w:val="15"/>
                <w:color w:val="auto"/>
              </w:rPr>
              <w:t>Cost of revenues:</w:t>
            </w:r>
          </w:p>
        </w:tc>
        <w:tc>
          <w:tcPr>
            <w:tcW w:w="2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740" w:type="dxa"/>
            <w:vAlign w:val="bottom"/>
          </w:tcPr>
          <w:p>
            <w:pPr>
              <w:spacing w:after="0"/>
              <w:rPr>
                <w:sz w:val="16"/>
                <w:szCs w:val="16"/>
                <w:color w:val="auto"/>
              </w:rPr>
            </w:pPr>
          </w:p>
        </w:tc>
        <w:tc>
          <w:tcPr>
            <w:tcW w:w="3000" w:type="dxa"/>
            <w:vAlign w:val="bottom"/>
          </w:tcPr>
          <w:p>
            <w:pPr>
              <w:ind w:left="200"/>
              <w:spacing w:after="0"/>
              <w:rPr>
                <w:sz w:val="20"/>
                <w:szCs w:val="20"/>
                <w:color w:val="auto"/>
              </w:rPr>
            </w:pPr>
            <w:r>
              <w:rPr>
                <w:rFonts w:ascii="Arial" w:cs="Arial" w:eastAsia="Arial" w:hAnsi="Arial"/>
                <w:sz w:val="15"/>
                <w:szCs w:val="15"/>
                <w:color w:val="auto"/>
              </w:rPr>
              <w:t>Subscription</w:t>
            </w:r>
          </w:p>
        </w:tc>
        <w:tc>
          <w:tcPr>
            <w:tcW w:w="2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15,235</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11,409</w:t>
            </w: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740" w:type="dxa"/>
            <w:vAlign w:val="bottom"/>
          </w:tcPr>
          <w:p>
            <w:pPr>
              <w:spacing w:after="0"/>
              <w:rPr>
                <w:sz w:val="16"/>
                <w:szCs w:val="16"/>
                <w:color w:val="auto"/>
              </w:rPr>
            </w:pPr>
          </w:p>
        </w:tc>
        <w:tc>
          <w:tcPr>
            <w:tcW w:w="30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Professional services and other</w:t>
            </w:r>
          </w:p>
        </w:tc>
        <w:tc>
          <w:tcPr>
            <w:tcW w:w="226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7,142</w:t>
            </w:r>
          </w:p>
        </w:tc>
        <w:tc>
          <w:tcPr>
            <w:tcW w:w="200" w:type="dxa"/>
            <w:vAlign w:val="bottom"/>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5,663</w:t>
            </w:r>
          </w:p>
        </w:tc>
        <w:tc>
          <w:tcPr>
            <w:tcW w:w="80" w:type="dxa"/>
            <w:vAlign w:val="bottom"/>
            <w:shd w:val="clear" w:color="auto" w:fill="CFF0FC"/>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740" w:type="dxa"/>
            <w:vAlign w:val="bottom"/>
          </w:tcPr>
          <w:p>
            <w:pPr>
              <w:spacing w:after="0"/>
              <w:rPr>
                <w:sz w:val="15"/>
                <w:szCs w:val="15"/>
                <w:color w:val="auto"/>
              </w:rPr>
            </w:pPr>
          </w:p>
        </w:tc>
        <w:tc>
          <w:tcPr>
            <w:tcW w:w="3000" w:type="dxa"/>
            <w:vAlign w:val="bottom"/>
            <w:tcBorders>
              <w:bottom w:val="single" w:sz="8" w:color="CFF0FC"/>
            </w:tcBorders>
          </w:tcPr>
          <w:p>
            <w:pPr>
              <w:ind w:left="600"/>
              <w:spacing w:after="0"/>
              <w:rPr>
                <w:sz w:val="20"/>
                <w:szCs w:val="20"/>
                <w:color w:val="auto"/>
              </w:rPr>
            </w:pPr>
            <w:r>
              <w:rPr>
                <w:rFonts w:ascii="Arial" w:cs="Arial" w:eastAsia="Arial" w:hAnsi="Arial"/>
                <w:sz w:val="15"/>
                <w:szCs w:val="15"/>
                <w:color w:val="auto"/>
              </w:rPr>
              <w:t>Total cost of revenues</w:t>
            </w:r>
          </w:p>
        </w:tc>
        <w:tc>
          <w:tcPr>
            <w:tcW w:w="226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22,377</w:t>
            </w:r>
          </w:p>
        </w:tc>
        <w:tc>
          <w:tcPr>
            <w:tcW w:w="20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17,072</w:t>
            </w:r>
          </w:p>
        </w:tc>
        <w:tc>
          <w:tcPr>
            <w:tcW w:w="80" w:type="dxa"/>
            <w:vAlign w:val="bottom"/>
            <w:tcBorders>
              <w:bottom w:val="single" w:sz="8" w:color="CFF0FC"/>
            </w:tcBorders>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740" w:type="dxa"/>
            <w:vAlign w:val="bottom"/>
          </w:tcPr>
          <w:p>
            <w:pPr>
              <w:spacing w:after="0"/>
              <w:rPr>
                <w:sz w:val="15"/>
                <w:szCs w:val="15"/>
                <w:color w:val="auto"/>
              </w:rPr>
            </w:pPr>
          </w:p>
        </w:tc>
        <w:tc>
          <w:tcPr>
            <w:tcW w:w="3000" w:type="dxa"/>
            <w:vAlign w:val="bottom"/>
            <w:shd w:val="clear" w:color="auto" w:fill="CFF0FC"/>
          </w:tcPr>
          <w:p>
            <w:pPr>
              <w:spacing w:after="0"/>
              <w:rPr>
                <w:sz w:val="20"/>
                <w:szCs w:val="20"/>
                <w:color w:val="auto"/>
              </w:rPr>
            </w:pPr>
            <w:r>
              <w:rPr>
                <w:rFonts w:ascii="Arial" w:cs="Arial" w:eastAsia="Arial" w:hAnsi="Arial"/>
                <w:sz w:val="15"/>
                <w:szCs w:val="15"/>
                <w:color w:val="auto"/>
              </w:rPr>
              <w:t>Gross profit</w:t>
            </w:r>
          </w:p>
        </w:tc>
        <w:tc>
          <w:tcPr>
            <w:tcW w:w="226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92,179</w:t>
            </w:r>
          </w:p>
        </w:tc>
        <w:tc>
          <w:tcPr>
            <w:tcW w:w="200" w:type="dxa"/>
            <w:vAlign w:val="bottom"/>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65,180</w:t>
            </w:r>
          </w:p>
        </w:tc>
        <w:tc>
          <w:tcPr>
            <w:tcW w:w="80" w:type="dxa"/>
            <w:vAlign w:val="bottom"/>
            <w:shd w:val="clear" w:color="auto" w:fill="CFF0FC"/>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740" w:type="dxa"/>
            <w:vAlign w:val="bottom"/>
            <w:gridSpan w:val="2"/>
          </w:tcPr>
          <w:p>
            <w:pPr>
              <w:ind w:left="1740"/>
              <w:spacing w:after="0"/>
              <w:rPr>
                <w:sz w:val="20"/>
                <w:szCs w:val="20"/>
                <w:color w:val="auto"/>
              </w:rPr>
            </w:pPr>
            <w:r>
              <w:rPr>
                <w:rFonts w:ascii="Arial" w:cs="Arial" w:eastAsia="Arial" w:hAnsi="Arial"/>
                <w:sz w:val="15"/>
                <w:szCs w:val="15"/>
                <w:color w:val="auto"/>
              </w:rPr>
              <w:t>Operating expenses:</w:t>
            </w:r>
          </w:p>
        </w:tc>
        <w:tc>
          <w:tcPr>
            <w:tcW w:w="2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740" w:type="dxa"/>
            <w:vAlign w:val="bottom"/>
          </w:tcPr>
          <w:p>
            <w:pPr>
              <w:spacing w:after="0"/>
              <w:rPr>
                <w:sz w:val="16"/>
                <w:szCs w:val="16"/>
                <w:color w:val="auto"/>
              </w:rPr>
            </w:pPr>
          </w:p>
        </w:tc>
        <w:tc>
          <w:tcPr>
            <w:tcW w:w="30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Research and development</w:t>
            </w:r>
          </w:p>
        </w:tc>
        <w:tc>
          <w:tcPr>
            <w:tcW w:w="2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26,352</w:t>
            </w: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13,370</w:t>
            </w:r>
          </w:p>
        </w:tc>
        <w:tc>
          <w:tcPr>
            <w:tcW w:w="80" w:type="dxa"/>
            <w:vAlign w:val="bottom"/>
            <w:shd w:val="clear" w:color="auto" w:fill="CFF0FC"/>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740" w:type="dxa"/>
            <w:vAlign w:val="bottom"/>
          </w:tcPr>
          <w:p>
            <w:pPr>
              <w:spacing w:after="0"/>
              <w:rPr>
                <w:sz w:val="16"/>
                <w:szCs w:val="16"/>
                <w:color w:val="auto"/>
              </w:rPr>
            </w:pPr>
          </w:p>
        </w:tc>
        <w:tc>
          <w:tcPr>
            <w:tcW w:w="3000" w:type="dxa"/>
            <w:vAlign w:val="bottom"/>
          </w:tcPr>
          <w:p>
            <w:pPr>
              <w:ind w:left="200"/>
              <w:spacing w:after="0"/>
              <w:rPr>
                <w:sz w:val="20"/>
                <w:szCs w:val="20"/>
                <w:color w:val="auto"/>
              </w:rPr>
            </w:pPr>
            <w:r>
              <w:rPr>
                <w:rFonts w:ascii="Arial" w:cs="Arial" w:eastAsia="Arial" w:hAnsi="Arial"/>
                <w:sz w:val="15"/>
                <w:szCs w:val="15"/>
                <w:color w:val="auto"/>
              </w:rPr>
              <w:t>Sales and marketing</w:t>
            </w:r>
          </w:p>
        </w:tc>
        <w:tc>
          <w:tcPr>
            <w:tcW w:w="2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59,910</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46,672</w:t>
            </w: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740" w:type="dxa"/>
            <w:vAlign w:val="bottom"/>
          </w:tcPr>
          <w:p>
            <w:pPr>
              <w:spacing w:after="0"/>
              <w:rPr>
                <w:sz w:val="16"/>
                <w:szCs w:val="16"/>
                <w:color w:val="auto"/>
              </w:rPr>
            </w:pPr>
          </w:p>
        </w:tc>
        <w:tc>
          <w:tcPr>
            <w:tcW w:w="30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General and administrative</w:t>
            </w:r>
          </w:p>
        </w:tc>
        <w:tc>
          <w:tcPr>
            <w:tcW w:w="226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17,241</w:t>
            </w:r>
          </w:p>
        </w:tc>
        <w:tc>
          <w:tcPr>
            <w:tcW w:w="200" w:type="dxa"/>
            <w:vAlign w:val="bottom"/>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13,138</w:t>
            </w:r>
          </w:p>
        </w:tc>
        <w:tc>
          <w:tcPr>
            <w:tcW w:w="80" w:type="dxa"/>
            <w:vAlign w:val="bottom"/>
            <w:shd w:val="clear" w:color="auto" w:fill="CFF0FC"/>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740" w:type="dxa"/>
            <w:vAlign w:val="bottom"/>
          </w:tcPr>
          <w:p>
            <w:pPr>
              <w:spacing w:after="0"/>
              <w:rPr>
                <w:sz w:val="15"/>
                <w:szCs w:val="15"/>
                <w:color w:val="auto"/>
              </w:rPr>
            </w:pPr>
          </w:p>
        </w:tc>
        <w:tc>
          <w:tcPr>
            <w:tcW w:w="3000" w:type="dxa"/>
            <w:vAlign w:val="bottom"/>
            <w:tcBorders>
              <w:bottom w:val="single" w:sz="8" w:color="CFF0FC"/>
            </w:tcBorders>
          </w:tcPr>
          <w:p>
            <w:pPr>
              <w:ind w:left="400"/>
              <w:spacing w:after="0"/>
              <w:rPr>
                <w:sz w:val="20"/>
                <w:szCs w:val="20"/>
                <w:color w:val="auto"/>
              </w:rPr>
            </w:pPr>
            <w:r>
              <w:rPr>
                <w:rFonts w:ascii="Arial" w:cs="Arial" w:eastAsia="Arial" w:hAnsi="Arial"/>
                <w:sz w:val="15"/>
                <w:szCs w:val="15"/>
                <w:color w:val="auto"/>
              </w:rPr>
              <w:t>Total operating expenses</w:t>
            </w:r>
          </w:p>
        </w:tc>
        <w:tc>
          <w:tcPr>
            <w:tcW w:w="226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103,503</w:t>
            </w:r>
          </w:p>
        </w:tc>
        <w:tc>
          <w:tcPr>
            <w:tcW w:w="20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73,180</w:t>
            </w:r>
          </w:p>
        </w:tc>
        <w:tc>
          <w:tcPr>
            <w:tcW w:w="80" w:type="dxa"/>
            <w:vAlign w:val="bottom"/>
            <w:tcBorders>
              <w:bottom w:val="single" w:sz="8" w:color="CFF0FC"/>
            </w:tcBorders>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740" w:type="dxa"/>
            <w:vAlign w:val="bottom"/>
          </w:tcPr>
          <w:p>
            <w:pPr>
              <w:spacing w:after="0"/>
              <w:rPr>
                <w:sz w:val="15"/>
                <w:szCs w:val="15"/>
                <w:color w:val="auto"/>
              </w:rPr>
            </w:pPr>
          </w:p>
        </w:tc>
        <w:tc>
          <w:tcPr>
            <w:tcW w:w="3000" w:type="dxa"/>
            <w:vAlign w:val="bottom"/>
            <w:shd w:val="clear" w:color="auto" w:fill="CFF0FC"/>
          </w:tcPr>
          <w:p>
            <w:pPr>
              <w:spacing w:after="0"/>
              <w:rPr>
                <w:sz w:val="20"/>
                <w:szCs w:val="20"/>
                <w:color w:val="auto"/>
              </w:rPr>
            </w:pPr>
            <w:r>
              <w:rPr>
                <w:rFonts w:ascii="Arial" w:cs="Arial" w:eastAsia="Arial" w:hAnsi="Arial"/>
                <w:sz w:val="15"/>
                <w:szCs w:val="15"/>
                <w:color w:val="auto"/>
              </w:rPr>
              <w:t>Loss from operations</w:t>
            </w:r>
          </w:p>
        </w:tc>
        <w:tc>
          <w:tcPr>
            <w:tcW w:w="2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(11,324)</w:t>
            </w:r>
          </w:p>
        </w:tc>
        <w:tc>
          <w:tcPr>
            <w:tcW w:w="3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(8,000)</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740" w:type="dxa"/>
            <w:vAlign w:val="bottom"/>
            <w:gridSpan w:val="2"/>
          </w:tcPr>
          <w:p>
            <w:pPr>
              <w:ind w:left="1740"/>
              <w:spacing w:after="0"/>
              <w:rPr>
                <w:sz w:val="20"/>
                <w:szCs w:val="20"/>
                <w:color w:val="auto"/>
              </w:rPr>
            </w:pPr>
            <w:r>
              <w:rPr>
                <w:rFonts w:ascii="Arial" w:cs="Arial" w:eastAsia="Arial" w:hAnsi="Arial"/>
                <w:sz w:val="15"/>
                <w:szCs w:val="15"/>
                <w:color w:val="auto"/>
              </w:rPr>
              <w:t>Other (expense) income:</w:t>
            </w:r>
          </w:p>
        </w:tc>
        <w:tc>
          <w:tcPr>
            <w:tcW w:w="22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740" w:type="dxa"/>
            <w:vAlign w:val="bottom"/>
          </w:tcPr>
          <w:p>
            <w:pPr>
              <w:spacing w:after="0"/>
              <w:rPr>
                <w:sz w:val="16"/>
                <w:szCs w:val="16"/>
                <w:color w:val="auto"/>
              </w:rPr>
            </w:pPr>
          </w:p>
        </w:tc>
        <w:tc>
          <w:tcPr>
            <w:tcW w:w="30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Interest income</w:t>
            </w:r>
          </w:p>
        </w:tc>
        <w:tc>
          <w:tcPr>
            <w:tcW w:w="2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1,824</w:t>
            </w: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303</w:t>
            </w:r>
          </w:p>
        </w:tc>
        <w:tc>
          <w:tcPr>
            <w:tcW w:w="80" w:type="dxa"/>
            <w:vAlign w:val="bottom"/>
            <w:shd w:val="clear" w:color="auto" w:fill="CFF0FC"/>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740" w:type="dxa"/>
            <w:vAlign w:val="bottom"/>
          </w:tcPr>
          <w:p>
            <w:pPr>
              <w:spacing w:after="0"/>
              <w:rPr>
                <w:sz w:val="16"/>
                <w:szCs w:val="16"/>
                <w:color w:val="auto"/>
              </w:rPr>
            </w:pPr>
          </w:p>
        </w:tc>
        <w:tc>
          <w:tcPr>
            <w:tcW w:w="3000" w:type="dxa"/>
            <w:vAlign w:val="bottom"/>
          </w:tcPr>
          <w:p>
            <w:pPr>
              <w:ind w:left="200"/>
              <w:spacing w:after="0"/>
              <w:rPr>
                <w:sz w:val="20"/>
                <w:szCs w:val="20"/>
                <w:color w:val="auto"/>
              </w:rPr>
            </w:pPr>
            <w:r>
              <w:rPr>
                <w:rFonts w:ascii="Arial" w:cs="Arial" w:eastAsia="Arial" w:hAnsi="Arial"/>
                <w:sz w:val="15"/>
                <w:szCs w:val="15"/>
                <w:color w:val="auto"/>
              </w:rPr>
              <w:t>Interest expense</w:t>
            </w:r>
          </w:p>
        </w:tc>
        <w:tc>
          <w:tcPr>
            <w:tcW w:w="2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5"/>
                <w:szCs w:val="15"/>
                <w:color w:val="auto"/>
              </w:rPr>
              <w:t>(5,174)</w:t>
            </w:r>
          </w:p>
        </w:tc>
        <w:tc>
          <w:tcPr>
            <w:tcW w:w="32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5"/>
                <w:szCs w:val="15"/>
                <w:color w:val="auto"/>
              </w:rPr>
              <w:t>(52)</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740" w:type="dxa"/>
            <w:vAlign w:val="bottom"/>
          </w:tcPr>
          <w:p>
            <w:pPr>
              <w:spacing w:after="0"/>
              <w:rPr>
                <w:sz w:val="16"/>
                <w:szCs w:val="16"/>
                <w:color w:val="auto"/>
              </w:rPr>
            </w:pPr>
          </w:p>
        </w:tc>
        <w:tc>
          <w:tcPr>
            <w:tcW w:w="30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Other expense</w:t>
            </w:r>
          </w:p>
        </w:tc>
        <w:tc>
          <w:tcPr>
            <w:tcW w:w="2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(283)</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(128)</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3000" w:type="dxa"/>
            <w:vAlign w:val="bottom"/>
            <w:vMerge w:val="restart"/>
          </w:tcPr>
          <w:p>
            <w:pPr>
              <w:ind w:left="400"/>
              <w:spacing w:after="0"/>
              <w:rPr>
                <w:sz w:val="20"/>
                <w:szCs w:val="20"/>
                <w:color w:val="auto"/>
              </w:rPr>
            </w:pPr>
            <w:r>
              <w:rPr>
                <w:rFonts w:ascii="Arial" w:cs="Arial" w:eastAsia="Arial" w:hAnsi="Arial"/>
                <w:sz w:val="15"/>
                <w:szCs w:val="15"/>
                <w:color w:val="auto"/>
              </w:rPr>
              <w:t>Total other (expense) income</w:t>
            </w:r>
          </w:p>
        </w:tc>
        <w:tc>
          <w:tcPr>
            <w:tcW w:w="2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740" w:type="dxa"/>
            <w:vAlign w:val="bottom"/>
          </w:tcPr>
          <w:p>
            <w:pPr>
              <w:spacing w:after="0"/>
              <w:rPr>
                <w:sz w:val="15"/>
                <w:szCs w:val="15"/>
                <w:color w:val="auto"/>
              </w:rPr>
            </w:pPr>
          </w:p>
        </w:tc>
        <w:tc>
          <w:tcPr>
            <w:tcW w:w="3000" w:type="dxa"/>
            <w:vAlign w:val="bottom"/>
            <w:vMerge w:val="continue"/>
          </w:tcPr>
          <w:p>
            <w:pPr>
              <w:spacing w:after="0"/>
              <w:rPr>
                <w:sz w:val="15"/>
                <w:szCs w:val="15"/>
                <w:color w:val="auto"/>
              </w:rPr>
            </w:pPr>
          </w:p>
        </w:tc>
        <w:tc>
          <w:tcPr>
            <w:tcW w:w="2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5"/>
                <w:szCs w:val="15"/>
                <w:color w:val="auto"/>
              </w:rPr>
              <w:t>(3,633)</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123</w:t>
            </w: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300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Loss before income tax expense</w:t>
            </w:r>
          </w:p>
        </w:tc>
        <w:tc>
          <w:tcPr>
            <w:tcW w:w="2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740" w:type="dxa"/>
            <w:vAlign w:val="bottom"/>
          </w:tcPr>
          <w:p>
            <w:pPr>
              <w:spacing w:after="0"/>
              <w:rPr>
                <w:sz w:val="15"/>
                <w:szCs w:val="15"/>
                <w:color w:val="auto"/>
              </w:rPr>
            </w:pPr>
          </w:p>
        </w:tc>
        <w:tc>
          <w:tcPr>
            <w:tcW w:w="3000" w:type="dxa"/>
            <w:vAlign w:val="bottom"/>
            <w:vMerge w:val="continue"/>
            <w:shd w:val="clear" w:color="auto" w:fill="CFF0FC"/>
          </w:tcPr>
          <w:p>
            <w:pPr>
              <w:spacing w:after="0"/>
              <w:rPr>
                <w:sz w:val="15"/>
                <w:szCs w:val="15"/>
                <w:color w:val="auto"/>
              </w:rPr>
            </w:pPr>
          </w:p>
        </w:tc>
        <w:tc>
          <w:tcPr>
            <w:tcW w:w="2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(14,957)</w:t>
            </w:r>
          </w:p>
        </w:tc>
        <w:tc>
          <w:tcPr>
            <w:tcW w:w="3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(7,877)</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740" w:type="dxa"/>
            <w:vAlign w:val="bottom"/>
          </w:tcPr>
          <w:p>
            <w:pPr>
              <w:spacing w:after="0"/>
              <w:rPr>
                <w:sz w:val="16"/>
                <w:szCs w:val="16"/>
                <w:color w:val="auto"/>
              </w:rPr>
            </w:pPr>
          </w:p>
        </w:tc>
        <w:tc>
          <w:tcPr>
            <w:tcW w:w="3000" w:type="dxa"/>
            <w:vAlign w:val="bottom"/>
          </w:tcPr>
          <w:p>
            <w:pPr>
              <w:ind w:left="400"/>
              <w:spacing w:after="0"/>
              <w:rPr>
                <w:sz w:val="20"/>
                <w:szCs w:val="20"/>
                <w:color w:val="auto"/>
              </w:rPr>
            </w:pPr>
            <w:r>
              <w:rPr>
                <w:rFonts w:ascii="Arial" w:cs="Arial" w:eastAsia="Arial" w:hAnsi="Arial"/>
                <w:sz w:val="15"/>
                <w:szCs w:val="15"/>
                <w:color w:val="auto"/>
              </w:rPr>
              <w:t>Income tax expense</w:t>
            </w:r>
          </w:p>
        </w:tc>
        <w:tc>
          <w:tcPr>
            <w:tcW w:w="2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5"/>
                <w:szCs w:val="15"/>
                <w:color w:val="auto"/>
              </w:rPr>
              <w:t>(491)</w:t>
            </w:r>
          </w:p>
        </w:tc>
        <w:tc>
          <w:tcPr>
            <w:tcW w:w="32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5"/>
                <w:szCs w:val="15"/>
                <w:color w:val="auto"/>
              </w:rPr>
              <w:t>(198)</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300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Net loss</w:t>
            </w:r>
          </w:p>
        </w:tc>
        <w:tc>
          <w:tcPr>
            <w:tcW w:w="2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740" w:type="dxa"/>
            <w:vAlign w:val="bottom"/>
          </w:tcPr>
          <w:p>
            <w:pPr>
              <w:spacing w:after="0"/>
              <w:rPr>
                <w:sz w:val="15"/>
                <w:szCs w:val="15"/>
                <w:color w:val="auto"/>
              </w:rPr>
            </w:pPr>
          </w:p>
        </w:tc>
        <w:tc>
          <w:tcPr>
            <w:tcW w:w="3000" w:type="dxa"/>
            <w:vAlign w:val="bottom"/>
            <w:vMerge w:val="continue"/>
            <w:shd w:val="clear" w:color="auto" w:fill="CFF0FC"/>
          </w:tcPr>
          <w:p>
            <w:pPr>
              <w:spacing w:after="0"/>
              <w:rPr>
                <w:sz w:val="15"/>
                <w:szCs w:val="15"/>
                <w:color w:val="auto"/>
              </w:rPr>
            </w:pPr>
          </w:p>
        </w:tc>
        <w:tc>
          <w:tcPr>
            <w:tcW w:w="226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(15,448)</w:t>
            </w:r>
          </w:p>
        </w:tc>
        <w:tc>
          <w:tcPr>
            <w:tcW w:w="320" w:type="dxa"/>
            <w:vAlign w:val="bottom"/>
            <w:shd w:val="clear" w:color="auto" w:fill="CFF0FC"/>
          </w:tcPr>
          <w:p>
            <w:pPr>
              <w:jc w:val="center"/>
              <w:ind w:right="167"/>
              <w:spacing w:after="0"/>
              <w:rPr>
                <w:sz w:val="20"/>
                <w:szCs w:val="20"/>
                <w:color w:val="auto"/>
              </w:rPr>
            </w:pPr>
            <w:r>
              <w:rPr>
                <w:rFonts w:ascii="Arial" w:cs="Arial" w:eastAsia="Arial" w:hAnsi="Arial"/>
                <w:sz w:val="15"/>
                <w:szCs w:val="15"/>
                <w:color w:val="auto"/>
                <w:w w:val="95"/>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(8,075)</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3000" w:type="dxa"/>
            <w:vAlign w:val="bottom"/>
            <w:tcBorders>
              <w:top w:val="single" w:sz="8" w:color="CFF0FC"/>
            </w:tcBorders>
          </w:tcPr>
          <w:p>
            <w:pPr>
              <w:spacing w:after="0" w:line="20" w:lineRule="exact"/>
              <w:rPr>
                <w:sz w:val="1"/>
                <w:szCs w:val="1"/>
                <w:color w:val="auto"/>
              </w:rPr>
            </w:pPr>
          </w:p>
        </w:tc>
        <w:tc>
          <w:tcPr>
            <w:tcW w:w="2260" w:type="dxa"/>
            <w:vAlign w:val="bottom"/>
            <w:tcBorders>
              <w:top w:val="single" w:sz="8" w:color="CFF0FC"/>
              <w:bottom w:val="single" w:sz="8" w:color="CFF0FC"/>
            </w:tcBorders>
            <w:vMerge w:val="restart"/>
          </w:tcPr>
          <w:p>
            <w:pPr>
              <w:jc w:val="right"/>
              <w:ind w:right="1127"/>
              <w:spacing w:after="0"/>
              <w:rPr>
                <w:sz w:val="20"/>
                <w:szCs w:val="20"/>
                <w:color w:val="auto"/>
              </w:rPr>
            </w:pPr>
            <w:r>
              <w:rPr>
                <w:rFonts w:ascii="Arial" w:cs="Arial" w:eastAsia="Arial" w:hAnsi="Arial"/>
                <w:sz w:val="15"/>
                <w:szCs w:val="15"/>
                <w:color w:val="auto"/>
              </w:rPr>
              <w:t>22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17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740" w:type="dxa"/>
            <w:vAlign w:val="bottom"/>
            <w:tcBorders>
              <w:bottom w:val="single" w:sz="8" w:color="9A9A9A"/>
            </w:tcBorders>
          </w:tcPr>
          <w:p>
            <w:pPr>
              <w:spacing w:after="0"/>
              <w:rPr>
                <w:sz w:val="7"/>
                <w:szCs w:val="7"/>
                <w:color w:val="auto"/>
              </w:rPr>
            </w:pPr>
          </w:p>
        </w:tc>
        <w:tc>
          <w:tcPr>
            <w:tcW w:w="3000" w:type="dxa"/>
            <w:vAlign w:val="bottom"/>
            <w:tcBorders>
              <w:bottom w:val="single" w:sz="8" w:color="9A9A9A"/>
            </w:tcBorders>
          </w:tcPr>
          <w:p>
            <w:pPr>
              <w:spacing w:after="0"/>
              <w:rPr>
                <w:sz w:val="7"/>
                <w:szCs w:val="7"/>
                <w:color w:val="auto"/>
              </w:rPr>
            </w:pPr>
          </w:p>
        </w:tc>
        <w:tc>
          <w:tcPr>
            <w:tcW w:w="22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7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-26035</wp:posOffset>
            </wp:positionV>
            <wp:extent cx="32385"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480" w:right="199" w:bottom="1440" w:gutter="0" w:footer="0" w:header="0"/>
        </w:sectPr>
      </w:pPr>
    </w:p>
    <w:bookmarkStart w:id="22" w:name="page23"/>
    <w:bookmarkEnd w:id="22"/>
    <w:p>
      <w:pPr>
        <w:jc w:val="center"/>
        <w:ind w:left="5160"/>
        <w:spacing w:after="0"/>
        <w:rPr>
          <w:sz w:val="20"/>
          <w:szCs w:val="20"/>
          <w:color w:val="auto"/>
        </w:rPr>
      </w:pPr>
      <w:r>
        <w:rPr>
          <w:rFonts w:ascii="Arial" w:cs="Arial" w:eastAsia="Arial" w:hAnsi="Arial"/>
          <w:sz w:val="12"/>
          <w:szCs w:val="12"/>
          <w:b w:val="1"/>
          <w:bCs w:val="1"/>
          <w:color w:val="auto"/>
        </w:rPr>
        <w:t>Three Months</w:t>
      </w:r>
    </w:p>
    <w:p>
      <w:pPr>
        <w:jc w:val="center"/>
        <w:ind w:left="5160"/>
        <w:spacing w:after="0" w:line="219" w:lineRule="auto"/>
        <w:rPr>
          <w:sz w:val="20"/>
          <w:szCs w:val="20"/>
          <w:color w:val="auto"/>
        </w:rPr>
      </w:pPr>
      <w:r>
        <w:rPr>
          <w:rFonts w:ascii="Arial" w:cs="Arial" w:eastAsia="Arial" w:hAnsi="Arial"/>
          <w:sz w:val="12"/>
          <w:szCs w:val="12"/>
          <w:b w:val="1"/>
          <w:bCs w:val="1"/>
          <w:color w:val="auto"/>
        </w:rPr>
        <w:t>Ended March 31,</w:t>
      </w:r>
    </w:p>
    <w:tbl>
      <w:tblPr>
        <w:tblLayout w:type="fixed"/>
        <w:tblInd w:w="1740" w:type="dxa"/>
        <w:tblCellMar>
          <w:top w:w="0" w:type="dxa"/>
          <w:left w:w="0" w:type="dxa"/>
          <w:bottom w:w="0" w:type="dxa"/>
          <w:right w:w="0" w:type="dxa"/>
        </w:tblCellMar>
      </w:tblPr>
      <w:tr>
        <w:trPr>
          <w:trHeight w:val="123"/>
        </w:trPr>
        <w:tc>
          <w:tcPr>
            <w:tcW w:w="5340" w:type="dxa"/>
            <w:vAlign w:val="bottom"/>
            <w:tcBorders>
              <w:bottom w:val="single" w:sz="8" w:color="CFF0FC"/>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42"/>
              <w:spacing w:after="0" w:line="123" w:lineRule="exact"/>
              <w:rPr>
                <w:sz w:val="20"/>
                <w:szCs w:val="20"/>
                <w:color w:val="auto"/>
              </w:rPr>
            </w:pPr>
            <w:r>
              <w:rPr>
                <w:rFonts w:ascii="Arial" w:cs="Arial" w:eastAsia="Arial" w:hAnsi="Arial"/>
                <w:sz w:val="12"/>
                <w:szCs w:val="12"/>
                <w:b w:val="1"/>
                <w:bCs w:val="1"/>
                <w:color w:val="auto"/>
              </w:rPr>
              <w:t>2018</w:t>
            </w:r>
          </w:p>
        </w:tc>
        <w:tc>
          <w:tcPr>
            <w:tcW w:w="340" w:type="dxa"/>
            <w:vAlign w:val="bottom"/>
            <w:tcBorders>
              <w:top w:val="single" w:sz="8" w:color="auto"/>
              <w:bottom w:val="single" w:sz="8" w:color="auto"/>
            </w:tcBorders>
          </w:tcPr>
          <w:p>
            <w:pPr>
              <w:spacing w:after="0"/>
              <w:rPr>
                <w:sz w:val="10"/>
                <w:szCs w:val="10"/>
                <w:color w:val="auto"/>
              </w:rPr>
            </w:pPr>
          </w:p>
        </w:tc>
        <w:tc>
          <w:tcPr>
            <w:tcW w:w="300" w:type="dxa"/>
            <w:vAlign w:val="bottom"/>
            <w:tcBorders>
              <w:top w:val="single" w:sz="8" w:color="auto"/>
              <w:bottom w:val="single" w:sz="8" w:color="CFF0FC"/>
            </w:tcBorders>
          </w:tcPr>
          <w:p>
            <w:pPr>
              <w:spacing w:after="0"/>
              <w:rPr>
                <w:sz w:val="10"/>
                <w:szCs w:val="10"/>
                <w:color w:val="auto"/>
              </w:rPr>
            </w:pPr>
          </w:p>
        </w:tc>
        <w:tc>
          <w:tcPr>
            <w:tcW w:w="1100" w:type="dxa"/>
            <w:vAlign w:val="bottom"/>
            <w:tcBorders>
              <w:top w:val="single" w:sz="8" w:color="auto"/>
              <w:bottom w:val="single" w:sz="8" w:color="auto"/>
            </w:tcBorders>
          </w:tcPr>
          <w:p>
            <w:pPr>
              <w:jc w:val="right"/>
              <w:ind w:right="368"/>
              <w:spacing w:after="0" w:line="123" w:lineRule="exact"/>
              <w:rPr>
                <w:sz w:val="20"/>
                <w:szCs w:val="20"/>
                <w:color w:val="auto"/>
              </w:rPr>
            </w:pPr>
            <w:r>
              <w:rPr>
                <w:rFonts w:ascii="Arial" w:cs="Arial" w:eastAsia="Arial" w:hAnsi="Arial"/>
                <w:sz w:val="12"/>
                <w:szCs w:val="12"/>
                <w:b w:val="1"/>
                <w:bCs w:val="1"/>
                <w:color w:val="auto"/>
              </w:rPr>
              <w:t>2017</w:t>
            </w:r>
          </w:p>
        </w:tc>
        <w:tc>
          <w:tcPr>
            <w:tcW w:w="180" w:type="dxa"/>
            <w:vAlign w:val="bottom"/>
            <w:tcBorders>
              <w:bottom w:val="single" w:sz="8" w:color="CFF0FC"/>
            </w:tcBorders>
          </w:tcPr>
          <w:p>
            <w:pPr>
              <w:spacing w:after="0"/>
              <w:rPr>
                <w:sz w:val="10"/>
                <w:szCs w:val="10"/>
                <w:color w:val="auto"/>
              </w:rPr>
            </w:pPr>
          </w:p>
        </w:tc>
      </w:tr>
      <w:tr>
        <w:trPr>
          <w:trHeight w:val="177"/>
        </w:trPr>
        <w:tc>
          <w:tcPr>
            <w:tcW w:w="608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Revenue:</w:t>
            </w:r>
          </w:p>
        </w:tc>
        <w:tc>
          <w:tcPr>
            <w:tcW w:w="3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r>
        <w:trPr>
          <w:trHeight w:val="186"/>
        </w:trPr>
        <w:tc>
          <w:tcPr>
            <w:tcW w:w="6080" w:type="dxa"/>
            <w:vAlign w:val="bottom"/>
            <w:gridSpan w:val="2"/>
          </w:tcPr>
          <w:p>
            <w:pPr>
              <w:ind w:left="200"/>
              <w:spacing w:after="0"/>
              <w:rPr>
                <w:sz w:val="20"/>
                <w:szCs w:val="20"/>
                <w:color w:val="auto"/>
              </w:rPr>
            </w:pPr>
            <w:r>
              <w:rPr>
                <w:rFonts w:ascii="Arial" w:cs="Arial" w:eastAsia="Arial" w:hAnsi="Arial"/>
                <w:sz w:val="15"/>
                <w:szCs w:val="15"/>
                <w:color w:val="auto"/>
              </w:rPr>
              <w:t>Subscription</w:t>
            </w: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95%</w:t>
            </w:r>
          </w:p>
        </w:tc>
        <w:tc>
          <w:tcPr>
            <w:tcW w:w="1280" w:type="dxa"/>
            <w:vAlign w:val="bottom"/>
            <w:gridSpan w:val="2"/>
          </w:tcPr>
          <w:p>
            <w:pPr>
              <w:jc w:val="right"/>
              <w:ind w:right="60"/>
              <w:spacing w:after="0"/>
              <w:rPr>
                <w:sz w:val="20"/>
                <w:szCs w:val="20"/>
                <w:color w:val="auto"/>
              </w:rPr>
            </w:pPr>
            <w:r>
              <w:rPr>
                <w:rFonts w:ascii="Arial" w:cs="Arial" w:eastAsia="Arial" w:hAnsi="Arial"/>
                <w:sz w:val="15"/>
                <w:szCs w:val="15"/>
                <w:color w:val="auto"/>
              </w:rPr>
              <w:t>94%</w:t>
            </w:r>
          </w:p>
        </w:tc>
      </w:tr>
      <w:tr>
        <w:trPr>
          <w:trHeight w:val="186"/>
        </w:trPr>
        <w:tc>
          <w:tcPr>
            <w:tcW w:w="53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Professional services and other</w:t>
            </w:r>
          </w:p>
        </w:tc>
        <w:tc>
          <w:tcPr>
            <w:tcW w:w="740" w:type="dxa"/>
            <w:vAlign w:val="bottom"/>
            <w:tcBorders>
              <w:bottom w:val="single" w:sz="8" w:color="auto"/>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w:t>
            </w:r>
          </w:p>
        </w:tc>
        <w:tc>
          <w:tcPr>
            <w:tcW w:w="300" w:type="dxa"/>
            <w:vAlign w:val="bottom"/>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w:t>
            </w:r>
          </w:p>
        </w:tc>
        <w:tc>
          <w:tcPr>
            <w:tcW w:w="180" w:type="dxa"/>
            <w:vAlign w:val="bottom"/>
            <w:shd w:val="clear" w:color="auto" w:fill="CFF0FC"/>
          </w:tcPr>
          <w:p>
            <w:pPr>
              <w:spacing w:after="0"/>
              <w:rPr>
                <w:sz w:val="16"/>
                <w:szCs w:val="16"/>
                <w:color w:val="auto"/>
              </w:rPr>
            </w:pPr>
          </w:p>
        </w:tc>
      </w:tr>
      <w:tr>
        <w:trPr>
          <w:trHeight w:val="177"/>
        </w:trPr>
        <w:tc>
          <w:tcPr>
            <w:tcW w:w="5340" w:type="dxa"/>
            <w:vAlign w:val="bottom"/>
            <w:tcBorders>
              <w:bottom w:val="single" w:sz="8" w:color="CFF0FC"/>
            </w:tcBorders>
          </w:tcPr>
          <w:p>
            <w:pPr>
              <w:ind w:left="400"/>
              <w:spacing w:after="0"/>
              <w:rPr>
                <w:sz w:val="20"/>
                <w:szCs w:val="20"/>
                <w:color w:val="auto"/>
              </w:rPr>
            </w:pPr>
            <w:r>
              <w:rPr>
                <w:rFonts w:ascii="Arial" w:cs="Arial" w:eastAsia="Arial" w:hAnsi="Arial"/>
                <w:sz w:val="15"/>
                <w:szCs w:val="15"/>
                <w:color w:val="auto"/>
              </w:rPr>
              <w:t>Total revenue</w:t>
            </w:r>
          </w:p>
        </w:tc>
        <w:tc>
          <w:tcPr>
            <w:tcW w:w="7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w:t>
            </w:r>
          </w:p>
        </w:tc>
        <w:tc>
          <w:tcPr>
            <w:tcW w:w="300" w:type="dxa"/>
            <w:vAlign w:val="bottom"/>
            <w:tcBorders>
              <w:bottom w:val="single" w:sz="8" w:color="CFF0FC"/>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w:t>
            </w:r>
          </w:p>
        </w:tc>
        <w:tc>
          <w:tcPr>
            <w:tcW w:w="180" w:type="dxa"/>
            <w:vAlign w:val="bottom"/>
            <w:tcBorders>
              <w:bottom w:val="single" w:sz="8" w:color="CFF0FC"/>
            </w:tcBorders>
          </w:tcPr>
          <w:p>
            <w:pPr>
              <w:spacing w:after="0"/>
              <w:rPr>
                <w:sz w:val="15"/>
                <w:szCs w:val="15"/>
                <w:color w:val="auto"/>
              </w:rPr>
            </w:pPr>
          </w:p>
        </w:tc>
      </w:tr>
      <w:tr>
        <w:trPr>
          <w:trHeight w:val="177"/>
        </w:trPr>
        <w:tc>
          <w:tcPr>
            <w:tcW w:w="608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Cost of revenue:</w:t>
            </w:r>
          </w:p>
        </w:tc>
        <w:tc>
          <w:tcPr>
            <w:tcW w:w="3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r>
        <w:trPr>
          <w:trHeight w:val="186"/>
        </w:trPr>
        <w:tc>
          <w:tcPr>
            <w:tcW w:w="6080" w:type="dxa"/>
            <w:vAlign w:val="bottom"/>
            <w:gridSpan w:val="2"/>
          </w:tcPr>
          <w:p>
            <w:pPr>
              <w:ind w:left="200"/>
              <w:spacing w:after="0"/>
              <w:rPr>
                <w:sz w:val="20"/>
                <w:szCs w:val="20"/>
                <w:color w:val="auto"/>
              </w:rPr>
            </w:pPr>
            <w:r>
              <w:rPr>
                <w:rFonts w:ascii="Arial" w:cs="Arial" w:eastAsia="Arial" w:hAnsi="Arial"/>
                <w:sz w:val="15"/>
                <w:szCs w:val="15"/>
                <w:color w:val="auto"/>
              </w:rPr>
              <w:t>Subscription</w:t>
            </w:r>
          </w:p>
        </w:tc>
        <w:tc>
          <w:tcPr>
            <w:tcW w:w="340" w:type="dxa"/>
            <w:vAlign w:val="bottom"/>
          </w:tcPr>
          <w:p>
            <w:pPr>
              <w:jc w:val="right"/>
              <w:spacing w:after="0"/>
              <w:rPr>
                <w:sz w:val="20"/>
                <w:szCs w:val="20"/>
                <w:color w:val="auto"/>
              </w:rPr>
            </w:pPr>
            <w:r>
              <w:rPr>
                <w:rFonts w:ascii="Arial" w:cs="Arial" w:eastAsia="Arial" w:hAnsi="Arial"/>
                <w:sz w:val="15"/>
                <w:szCs w:val="15"/>
                <w:color w:val="auto"/>
              </w:rPr>
              <w:t>13</w:t>
            </w: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14</w:t>
            </w:r>
          </w:p>
        </w:tc>
        <w:tc>
          <w:tcPr>
            <w:tcW w:w="180" w:type="dxa"/>
            <w:vAlign w:val="bottom"/>
          </w:tcPr>
          <w:p>
            <w:pPr>
              <w:spacing w:after="0"/>
              <w:rPr>
                <w:sz w:val="16"/>
                <w:szCs w:val="16"/>
                <w:color w:val="auto"/>
              </w:rPr>
            </w:pPr>
          </w:p>
        </w:tc>
      </w:tr>
      <w:tr>
        <w:trPr>
          <w:trHeight w:val="186"/>
        </w:trPr>
        <w:tc>
          <w:tcPr>
            <w:tcW w:w="53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Professional services and other</w:t>
            </w:r>
          </w:p>
        </w:tc>
        <w:tc>
          <w:tcPr>
            <w:tcW w:w="740" w:type="dxa"/>
            <w:vAlign w:val="bottom"/>
            <w:tcBorders>
              <w:bottom w:val="single" w:sz="8" w:color="auto"/>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w:t>
            </w:r>
          </w:p>
        </w:tc>
        <w:tc>
          <w:tcPr>
            <w:tcW w:w="300" w:type="dxa"/>
            <w:vAlign w:val="bottom"/>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w:t>
            </w:r>
          </w:p>
        </w:tc>
        <w:tc>
          <w:tcPr>
            <w:tcW w:w="180" w:type="dxa"/>
            <w:vAlign w:val="bottom"/>
            <w:shd w:val="clear" w:color="auto" w:fill="CFF0FC"/>
          </w:tcPr>
          <w:p>
            <w:pPr>
              <w:spacing w:after="0"/>
              <w:rPr>
                <w:sz w:val="16"/>
                <w:szCs w:val="16"/>
                <w:color w:val="auto"/>
              </w:rPr>
            </w:pPr>
          </w:p>
        </w:tc>
      </w:tr>
      <w:tr>
        <w:trPr>
          <w:trHeight w:val="177"/>
        </w:trPr>
        <w:tc>
          <w:tcPr>
            <w:tcW w:w="5340" w:type="dxa"/>
            <w:vAlign w:val="bottom"/>
            <w:tcBorders>
              <w:bottom w:val="single" w:sz="8" w:color="CFF0FC"/>
            </w:tcBorders>
          </w:tcPr>
          <w:p>
            <w:pPr>
              <w:ind w:left="400"/>
              <w:spacing w:after="0"/>
              <w:rPr>
                <w:sz w:val="20"/>
                <w:szCs w:val="20"/>
                <w:color w:val="auto"/>
              </w:rPr>
            </w:pPr>
            <w:r>
              <w:rPr>
                <w:rFonts w:ascii="Arial" w:cs="Arial" w:eastAsia="Arial" w:hAnsi="Arial"/>
                <w:sz w:val="15"/>
                <w:szCs w:val="15"/>
                <w:color w:val="auto"/>
              </w:rPr>
              <w:t>Total cost of revenue</w:t>
            </w:r>
          </w:p>
        </w:tc>
        <w:tc>
          <w:tcPr>
            <w:tcW w:w="7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w:t>
            </w:r>
          </w:p>
        </w:tc>
        <w:tc>
          <w:tcPr>
            <w:tcW w:w="300" w:type="dxa"/>
            <w:vAlign w:val="bottom"/>
            <w:tcBorders>
              <w:bottom w:val="single" w:sz="8" w:color="CFF0FC"/>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w:t>
            </w:r>
          </w:p>
        </w:tc>
        <w:tc>
          <w:tcPr>
            <w:tcW w:w="180" w:type="dxa"/>
            <w:vAlign w:val="bottom"/>
            <w:tcBorders>
              <w:bottom w:val="single" w:sz="8" w:color="CFF0FC"/>
            </w:tcBorders>
          </w:tcPr>
          <w:p>
            <w:pPr>
              <w:spacing w:after="0"/>
              <w:rPr>
                <w:sz w:val="15"/>
                <w:szCs w:val="15"/>
                <w:color w:val="auto"/>
              </w:rPr>
            </w:pPr>
          </w:p>
        </w:tc>
      </w:tr>
      <w:tr>
        <w:trPr>
          <w:trHeight w:val="177"/>
        </w:trPr>
        <w:tc>
          <w:tcPr>
            <w:tcW w:w="5340" w:type="dxa"/>
            <w:vAlign w:val="bottom"/>
            <w:shd w:val="clear" w:color="auto" w:fill="CFF0FC"/>
          </w:tcPr>
          <w:p>
            <w:pPr>
              <w:spacing w:after="0"/>
              <w:rPr>
                <w:sz w:val="20"/>
                <w:szCs w:val="20"/>
                <w:color w:val="auto"/>
              </w:rPr>
            </w:pPr>
            <w:r>
              <w:rPr>
                <w:rFonts w:ascii="Arial" w:cs="Arial" w:eastAsia="Arial" w:hAnsi="Arial"/>
                <w:sz w:val="15"/>
                <w:szCs w:val="15"/>
                <w:color w:val="auto"/>
              </w:rPr>
              <w:t>Gross profit</w:t>
            </w:r>
          </w:p>
        </w:tc>
        <w:tc>
          <w:tcPr>
            <w:tcW w:w="740" w:type="dxa"/>
            <w:vAlign w:val="bottom"/>
            <w:tcBorders>
              <w:bottom w:val="single" w:sz="8" w:color="auto"/>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80</w:t>
            </w:r>
          </w:p>
        </w:tc>
        <w:tc>
          <w:tcPr>
            <w:tcW w:w="300" w:type="dxa"/>
            <w:vAlign w:val="bottom"/>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79</w:t>
            </w:r>
          </w:p>
        </w:tc>
        <w:tc>
          <w:tcPr>
            <w:tcW w:w="180" w:type="dxa"/>
            <w:vAlign w:val="bottom"/>
            <w:shd w:val="clear" w:color="auto" w:fill="CFF0FC"/>
          </w:tcPr>
          <w:p>
            <w:pPr>
              <w:spacing w:after="0"/>
              <w:rPr>
                <w:sz w:val="15"/>
                <w:szCs w:val="15"/>
                <w:color w:val="auto"/>
              </w:rPr>
            </w:pPr>
          </w:p>
        </w:tc>
      </w:tr>
      <w:tr>
        <w:trPr>
          <w:trHeight w:val="177"/>
        </w:trPr>
        <w:tc>
          <w:tcPr>
            <w:tcW w:w="6080" w:type="dxa"/>
            <w:vAlign w:val="bottom"/>
            <w:gridSpan w:val="2"/>
          </w:tcPr>
          <w:p>
            <w:pPr>
              <w:spacing w:after="0"/>
              <w:rPr>
                <w:sz w:val="20"/>
                <w:szCs w:val="20"/>
                <w:color w:val="auto"/>
              </w:rPr>
            </w:pPr>
            <w:r>
              <w:rPr>
                <w:rFonts w:ascii="Arial" w:cs="Arial" w:eastAsia="Arial" w:hAnsi="Arial"/>
                <w:sz w:val="15"/>
                <w:szCs w:val="15"/>
                <w:color w:val="auto"/>
              </w:rPr>
              <w:t>Operating expenses:</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6"/>
        </w:trPr>
        <w:tc>
          <w:tcPr>
            <w:tcW w:w="6080" w:type="dxa"/>
            <w:vAlign w:val="bottom"/>
            <w:gridSpan w:val="2"/>
            <w:shd w:val="clear" w:color="auto" w:fill="CFF0FC"/>
          </w:tcPr>
          <w:p>
            <w:pPr>
              <w:ind w:left="200"/>
              <w:spacing w:after="0"/>
              <w:rPr>
                <w:sz w:val="20"/>
                <w:szCs w:val="20"/>
                <w:color w:val="auto"/>
              </w:rPr>
            </w:pPr>
            <w:r>
              <w:rPr>
                <w:rFonts w:ascii="Arial" w:cs="Arial" w:eastAsia="Arial" w:hAnsi="Arial"/>
                <w:sz w:val="15"/>
                <w:szCs w:val="15"/>
                <w:color w:val="auto"/>
              </w:rPr>
              <w:t>Research and development</w:t>
            </w:r>
          </w:p>
        </w:tc>
        <w:tc>
          <w:tcPr>
            <w:tcW w:w="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w:t>
            </w: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w:t>
            </w:r>
          </w:p>
        </w:tc>
        <w:tc>
          <w:tcPr>
            <w:tcW w:w="180" w:type="dxa"/>
            <w:vAlign w:val="bottom"/>
            <w:shd w:val="clear" w:color="auto" w:fill="CFF0FC"/>
          </w:tcPr>
          <w:p>
            <w:pPr>
              <w:spacing w:after="0"/>
              <w:rPr>
                <w:sz w:val="16"/>
                <w:szCs w:val="16"/>
                <w:color w:val="auto"/>
              </w:rPr>
            </w:pPr>
          </w:p>
        </w:tc>
      </w:tr>
      <w:tr>
        <w:trPr>
          <w:trHeight w:val="186"/>
        </w:trPr>
        <w:tc>
          <w:tcPr>
            <w:tcW w:w="6080" w:type="dxa"/>
            <w:vAlign w:val="bottom"/>
            <w:gridSpan w:val="2"/>
          </w:tcPr>
          <w:p>
            <w:pPr>
              <w:ind w:left="200"/>
              <w:spacing w:after="0"/>
              <w:rPr>
                <w:sz w:val="20"/>
                <w:szCs w:val="20"/>
                <w:color w:val="auto"/>
              </w:rPr>
            </w:pPr>
            <w:r>
              <w:rPr>
                <w:rFonts w:ascii="Arial" w:cs="Arial" w:eastAsia="Arial" w:hAnsi="Arial"/>
                <w:sz w:val="15"/>
                <w:szCs w:val="15"/>
                <w:color w:val="auto"/>
              </w:rPr>
              <w:t>Sales and marketing</w:t>
            </w:r>
          </w:p>
        </w:tc>
        <w:tc>
          <w:tcPr>
            <w:tcW w:w="340" w:type="dxa"/>
            <w:vAlign w:val="bottom"/>
          </w:tcPr>
          <w:p>
            <w:pPr>
              <w:jc w:val="right"/>
              <w:spacing w:after="0"/>
              <w:rPr>
                <w:sz w:val="20"/>
                <w:szCs w:val="20"/>
                <w:color w:val="auto"/>
              </w:rPr>
            </w:pPr>
            <w:r>
              <w:rPr>
                <w:rFonts w:ascii="Arial" w:cs="Arial" w:eastAsia="Arial" w:hAnsi="Arial"/>
                <w:sz w:val="15"/>
                <w:szCs w:val="15"/>
                <w:color w:val="auto"/>
              </w:rPr>
              <w:t>52</w:t>
            </w: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57</w:t>
            </w:r>
          </w:p>
        </w:tc>
        <w:tc>
          <w:tcPr>
            <w:tcW w:w="180" w:type="dxa"/>
            <w:vAlign w:val="bottom"/>
          </w:tcPr>
          <w:p>
            <w:pPr>
              <w:spacing w:after="0"/>
              <w:rPr>
                <w:sz w:val="16"/>
                <w:szCs w:val="16"/>
                <w:color w:val="auto"/>
              </w:rPr>
            </w:pPr>
          </w:p>
        </w:tc>
      </w:tr>
      <w:tr>
        <w:trPr>
          <w:trHeight w:val="186"/>
        </w:trPr>
        <w:tc>
          <w:tcPr>
            <w:tcW w:w="53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General and administrative</w:t>
            </w:r>
          </w:p>
        </w:tc>
        <w:tc>
          <w:tcPr>
            <w:tcW w:w="740" w:type="dxa"/>
            <w:vAlign w:val="bottom"/>
            <w:tcBorders>
              <w:bottom w:val="single" w:sz="8" w:color="auto"/>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15</w:t>
            </w:r>
          </w:p>
        </w:tc>
        <w:tc>
          <w:tcPr>
            <w:tcW w:w="300" w:type="dxa"/>
            <w:vAlign w:val="bottom"/>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16</w:t>
            </w:r>
          </w:p>
        </w:tc>
        <w:tc>
          <w:tcPr>
            <w:tcW w:w="180" w:type="dxa"/>
            <w:vAlign w:val="bottom"/>
            <w:shd w:val="clear" w:color="auto" w:fill="CFF0FC"/>
          </w:tcPr>
          <w:p>
            <w:pPr>
              <w:spacing w:after="0"/>
              <w:rPr>
                <w:sz w:val="16"/>
                <w:szCs w:val="16"/>
                <w:color w:val="auto"/>
              </w:rPr>
            </w:pPr>
          </w:p>
        </w:tc>
      </w:tr>
      <w:tr>
        <w:trPr>
          <w:trHeight w:val="177"/>
        </w:trPr>
        <w:tc>
          <w:tcPr>
            <w:tcW w:w="5340" w:type="dxa"/>
            <w:vAlign w:val="bottom"/>
            <w:tcBorders>
              <w:bottom w:val="single" w:sz="8" w:color="CFF0FC"/>
            </w:tcBorders>
          </w:tcPr>
          <w:p>
            <w:pPr>
              <w:ind w:left="400"/>
              <w:spacing w:after="0"/>
              <w:rPr>
                <w:sz w:val="20"/>
                <w:szCs w:val="20"/>
                <w:color w:val="auto"/>
              </w:rPr>
            </w:pPr>
            <w:r>
              <w:rPr>
                <w:rFonts w:ascii="Arial" w:cs="Arial" w:eastAsia="Arial" w:hAnsi="Arial"/>
                <w:sz w:val="15"/>
                <w:szCs w:val="15"/>
                <w:color w:val="auto"/>
              </w:rPr>
              <w:t>Total operating expenses</w:t>
            </w:r>
          </w:p>
        </w:tc>
        <w:tc>
          <w:tcPr>
            <w:tcW w:w="7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w:t>
            </w:r>
          </w:p>
        </w:tc>
        <w:tc>
          <w:tcPr>
            <w:tcW w:w="300" w:type="dxa"/>
            <w:vAlign w:val="bottom"/>
            <w:tcBorders>
              <w:bottom w:val="single" w:sz="8" w:color="CFF0FC"/>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w:t>
            </w:r>
          </w:p>
        </w:tc>
        <w:tc>
          <w:tcPr>
            <w:tcW w:w="180" w:type="dxa"/>
            <w:vAlign w:val="bottom"/>
            <w:tcBorders>
              <w:bottom w:val="single" w:sz="8" w:color="CFF0FC"/>
            </w:tcBorders>
          </w:tcPr>
          <w:p>
            <w:pPr>
              <w:spacing w:after="0"/>
              <w:rPr>
                <w:sz w:val="15"/>
                <w:szCs w:val="15"/>
                <w:color w:val="auto"/>
              </w:rPr>
            </w:pPr>
          </w:p>
        </w:tc>
      </w:tr>
      <w:tr>
        <w:trPr>
          <w:trHeight w:val="177"/>
        </w:trPr>
        <w:tc>
          <w:tcPr>
            <w:tcW w:w="608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Loss from operations</w:t>
            </w:r>
          </w:p>
        </w:tc>
        <w:tc>
          <w:tcPr>
            <w:tcW w:w="64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(10)</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(10)</w:t>
            </w:r>
          </w:p>
        </w:tc>
      </w:tr>
      <w:tr>
        <w:trPr>
          <w:trHeight w:val="186"/>
        </w:trPr>
        <w:tc>
          <w:tcPr>
            <w:tcW w:w="5340" w:type="dxa"/>
            <w:vAlign w:val="bottom"/>
          </w:tcPr>
          <w:p>
            <w:pPr>
              <w:ind w:left="400"/>
              <w:spacing w:after="0"/>
              <w:rPr>
                <w:sz w:val="20"/>
                <w:szCs w:val="20"/>
                <w:color w:val="auto"/>
              </w:rPr>
            </w:pPr>
            <w:r>
              <w:rPr>
                <w:rFonts w:ascii="Arial" w:cs="Arial" w:eastAsia="Arial" w:hAnsi="Arial"/>
                <w:sz w:val="15"/>
                <w:szCs w:val="15"/>
                <w:color w:val="auto"/>
              </w:rPr>
              <w:t>Total other expense</w:t>
            </w:r>
          </w:p>
        </w:tc>
        <w:tc>
          <w:tcPr>
            <w:tcW w:w="740" w:type="dxa"/>
            <w:vAlign w:val="bottom"/>
          </w:tcPr>
          <w:p>
            <w:pPr>
              <w:spacing w:after="0"/>
              <w:rPr>
                <w:sz w:val="16"/>
                <w:szCs w:val="16"/>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5"/>
                <w:szCs w:val="15"/>
                <w:color w:val="auto"/>
              </w:rPr>
              <w:t>(3)</w:t>
            </w:r>
          </w:p>
        </w:tc>
        <w:tc>
          <w:tcPr>
            <w:tcW w:w="12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r>
      <w:tr>
        <w:trPr>
          <w:trHeight w:val="20"/>
        </w:trPr>
        <w:tc>
          <w:tcPr>
            <w:tcW w:w="53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177"/>
        </w:trPr>
        <w:tc>
          <w:tcPr>
            <w:tcW w:w="5340" w:type="dxa"/>
            <w:vAlign w:val="bottom"/>
            <w:shd w:val="clear" w:color="auto" w:fill="CFF0FC"/>
          </w:tcPr>
          <w:p>
            <w:pPr>
              <w:spacing w:after="0"/>
              <w:rPr>
                <w:sz w:val="20"/>
                <w:szCs w:val="20"/>
                <w:color w:val="auto"/>
              </w:rPr>
            </w:pPr>
            <w:r>
              <w:rPr>
                <w:rFonts w:ascii="Arial" w:cs="Arial" w:eastAsia="Arial" w:hAnsi="Arial"/>
                <w:sz w:val="15"/>
                <w:szCs w:val="15"/>
                <w:color w:val="auto"/>
              </w:rPr>
              <w:t>Loss before income tax expense</w:t>
            </w:r>
          </w:p>
        </w:tc>
        <w:tc>
          <w:tcPr>
            <w:tcW w:w="7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(13)</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(10)</w:t>
            </w:r>
          </w:p>
        </w:tc>
      </w:tr>
      <w:tr>
        <w:trPr>
          <w:trHeight w:val="186"/>
        </w:trPr>
        <w:tc>
          <w:tcPr>
            <w:tcW w:w="5340" w:type="dxa"/>
            <w:vAlign w:val="bottom"/>
            <w:tcBorders>
              <w:bottom w:val="single" w:sz="8" w:color="CFF0FC"/>
            </w:tcBorders>
          </w:tcPr>
          <w:p>
            <w:pPr>
              <w:ind w:left="400"/>
              <w:spacing w:after="0"/>
              <w:rPr>
                <w:sz w:val="20"/>
                <w:szCs w:val="20"/>
                <w:color w:val="auto"/>
              </w:rPr>
            </w:pPr>
            <w:r>
              <w:rPr>
                <w:rFonts w:ascii="Arial" w:cs="Arial" w:eastAsia="Arial" w:hAnsi="Arial"/>
                <w:sz w:val="15"/>
                <w:szCs w:val="15"/>
                <w:color w:val="auto"/>
              </w:rPr>
              <w:t>Income tax expense</w:t>
            </w:r>
          </w:p>
        </w:tc>
        <w:tc>
          <w:tcPr>
            <w:tcW w:w="7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FF0FC"/>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FF0FC"/>
            </w:tcBorders>
          </w:tcPr>
          <w:p>
            <w:pPr>
              <w:spacing w:after="0"/>
              <w:rPr>
                <w:sz w:val="16"/>
                <w:szCs w:val="16"/>
                <w:color w:val="auto"/>
              </w:rPr>
            </w:pPr>
          </w:p>
        </w:tc>
      </w:tr>
      <w:tr>
        <w:trPr>
          <w:trHeight w:val="177"/>
        </w:trPr>
        <w:tc>
          <w:tcPr>
            <w:tcW w:w="608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Net loss</w:t>
            </w: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(13)%</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(10)%</w:t>
            </w:r>
          </w:p>
        </w:tc>
      </w:tr>
      <w:tr>
        <w:trPr>
          <w:trHeight w:val="20"/>
        </w:trPr>
        <w:tc>
          <w:tcPr>
            <w:tcW w:w="53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Arial" w:cs="Arial" w:eastAsia="Arial" w:hAnsi="Arial"/>
          <w:sz w:val="15"/>
          <w:szCs w:val="15"/>
          <w:color w:val="auto"/>
        </w:rPr>
        <w:t>Percentages are based on actual values. Totals may not sum due to rounding.</w:t>
      </w:r>
    </w:p>
    <w:p>
      <w:pPr>
        <w:spacing w:after="0" w:line="262" w:lineRule="exact"/>
        <w:rPr>
          <w:sz w:val="20"/>
          <w:szCs w:val="20"/>
          <w:color w:val="auto"/>
        </w:rPr>
      </w:pPr>
    </w:p>
    <w:p>
      <w:pPr>
        <w:ind w:right="5680"/>
        <w:spacing w:after="0" w:line="391" w:lineRule="auto"/>
        <w:rPr>
          <w:sz w:val="20"/>
          <w:szCs w:val="20"/>
          <w:color w:val="auto"/>
        </w:rPr>
      </w:pPr>
      <w:r>
        <w:rPr>
          <w:rFonts w:ascii="Arial" w:cs="Arial" w:eastAsia="Arial" w:hAnsi="Arial"/>
          <w:sz w:val="15"/>
          <w:szCs w:val="15"/>
          <w:b w:val="1"/>
          <w:bCs w:val="1"/>
          <w:color w:val="auto"/>
        </w:rPr>
        <w:t xml:space="preserve">Three Months Ended March 31, 2018 Compared to the Three Months Ended March 31, 2017 </w:t>
      </w:r>
      <w:r>
        <w:rPr>
          <w:rFonts w:ascii="Arial" w:cs="Arial" w:eastAsia="Arial" w:hAnsi="Arial"/>
          <w:sz w:val="15"/>
          <w:szCs w:val="15"/>
          <w:b w:val="1"/>
          <w:bCs w:val="1"/>
          <w:i w:val="1"/>
          <w:iCs w:val="1"/>
          <w:color w:val="auto"/>
        </w:rPr>
        <w:t>Revenue</w:t>
      </w:r>
    </w:p>
    <w:p>
      <w:pPr>
        <w:spacing w:after="0" w:line="43" w:lineRule="exact"/>
        <w:rPr>
          <w:sz w:val="20"/>
          <w:szCs w:val="20"/>
          <w:color w:val="auto"/>
        </w:rPr>
      </w:pPr>
    </w:p>
    <w:tbl>
      <w:tblPr>
        <w:tblLayout w:type="fixed"/>
        <w:tblInd w:w="580" w:type="dxa"/>
        <w:tblCellMar>
          <w:top w:w="0" w:type="dxa"/>
          <w:left w:w="0" w:type="dxa"/>
          <w:bottom w:w="0" w:type="dxa"/>
          <w:right w:w="0" w:type="dxa"/>
        </w:tblCellMar>
      </w:tblPr>
      <w:tr>
        <w:trPr>
          <w:trHeight w:val="138"/>
        </w:trPr>
        <w:tc>
          <w:tcPr>
            <w:tcW w:w="5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rPr>
              <w:t>Three Months</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220" w:type="dxa"/>
            <w:vAlign w:val="bottom"/>
            <w:vMerge w:val="restart"/>
          </w:tcPr>
          <w:p>
            <w:pPr>
              <w:spacing w:after="0"/>
              <w:rPr>
                <w:sz w:val="20"/>
                <w:szCs w:val="20"/>
                <w:color w:val="auto"/>
              </w:rPr>
            </w:pPr>
            <w:r>
              <w:rPr>
                <w:rFonts w:ascii="Arial" w:cs="Arial" w:eastAsia="Arial" w:hAnsi="Arial"/>
                <w:sz w:val="12"/>
                <w:szCs w:val="12"/>
                <w:b w:val="1"/>
                <w:bCs w:val="1"/>
                <w:color w:val="auto"/>
              </w:rPr>
              <w:t>(dollars in thousands)</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b w:val="1"/>
                <w:bCs w:val="1"/>
                <w:color w:val="auto"/>
              </w:rPr>
              <w:t>Ended March 31,</w:t>
            </w:r>
          </w:p>
        </w:tc>
        <w:tc>
          <w:tcPr>
            <w:tcW w:w="7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ind w:right="251"/>
              <w:spacing w:after="0"/>
              <w:rPr>
                <w:sz w:val="20"/>
                <w:szCs w:val="20"/>
                <w:color w:val="auto"/>
              </w:rPr>
            </w:pPr>
            <w:r>
              <w:rPr>
                <w:rFonts w:ascii="Arial" w:cs="Arial" w:eastAsia="Arial" w:hAnsi="Arial"/>
                <w:sz w:val="12"/>
                <w:szCs w:val="12"/>
                <w:b w:val="1"/>
                <w:bCs w:val="1"/>
                <w:color w:val="auto"/>
              </w:rPr>
              <w:t>$ Change</w:t>
            </w:r>
          </w:p>
        </w:tc>
        <w:tc>
          <w:tcPr>
            <w:tcW w:w="200" w:type="dxa"/>
            <w:vAlign w:val="bottom"/>
          </w:tcPr>
          <w:p>
            <w:pPr>
              <w:spacing w:after="0"/>
              <w:rPr>
                <w:sz w:val="12"/>
                <w:szCs w:val="12"/>
                <w:color w:val="auto"/>
              </w:rPr>
            </w:pPr>
          </w:p>
        </w:tc>
        <w:tc>
          <w:tcPr>
            <w:tcW w:w="1200" w:type="dxa"/>
            <w:vAlign w:val="bottom"/>
            <w:gridSpan w:val="2"/>
            <w:vMerge w:val="restart"/>
          </w:tcPr>
          <w:p>
            <w:pPr>
              <w:jc w:val="right"/>
              <w:ind w:right="44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23"/>
        </w:trPr>
        <w:tc>
          <w:tcPr>
            <w:tcW w:w="52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right"/>
              <w:ind w:right="354"/>
              <w:spacing w:after="0" w:line="123" w:lineRule="exact"/>
              <w:rPr>
                <w:sz w:val="20"/>
                <w:szCs w:val="20"/>
                <w:color w:val="auto"/>
              </w:rPr>
            </w:pPr>
            <w:r>
              <w:rPr>
                <w:rFonts w:ascii="Arial" w:cs="Arial" w:eastAsia="Arial" w:hAnsi="Arial"/>
                <w:sz w:val="12"/>
                <w:szCs w:val="12"/>
                <w:b w:val="1"/>
                <w:bCs w:val="1"/>
                <w:color w:val="auto"/>
              </w:rPr>
              <w:t>2018</w:t>
            </w: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jc w:val="right"/>
              <w:ind w:right="371"/>
              <w:spacing w:after="0" w:line="123" w:lineRule="exact"/>
              <w:rPr>
                <w:sz w:val="20"/>
                <w:szCs w:val="20"/>
                <w:color w:val="auto"/>
              </w:rPr>
            </w:pPr>
            <w:r>
              <w:rPr>
                <w:rFonts w:ascii="Arial" w:cs="Arial" w:eastAsia="Arial" w:hAnsi="Arial"/>
                <w:sz w:val="12"/>
                <w:szCs w:val="12"/>
                <w:b w:val="1"/>
                <w:bCs w:val="1"/>
                <w:color w:val="auto"/>
                <w:w w:val="89"/>
              </w:rPr>
              <w:t>2017</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5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5"/>
                <w:szCs w:val="15"/>
                <w:color w:val="auto"/>
              </w:rPr>
              <w:t>Revenues:</w:t>
            </w:r>
          </w:p>
        </w:tc>
        <w:tc>
          <w:tcPr>
            <w:tcW w:w="10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220" w:type="dxa"/>
            <w:vAlign w:val="bottom"/>
          </w:tcPr>
          <w:p>
            <w:pPr>
              <w:ind w:left="200"/>
              <w:spacing w:after="0"/>
              <w:rPr>
                <w:sz w:val="20"/>
                <w:szCs w:val="20"/>
                <w:color w:val="auto"/>
              </w:rPr>
            </w:pPr>
            <w:r>
              <w:rPr>
                <w:rFonts w:ascii="Arial" w:cs="Arial" w:eastAsia="Arial" w:hAnsi="Arial"/>
                <w:sz w:val="15"/>
                <w:szCs w:val="15"/>
                <w:color w:val="auto"/>
              </w:rPr>
              <w:t>Subscription</w:t>
            </w:r>
          </w:p>
        </w:tc>
        <w:tc>
          <w:tcPr>
            <w:tcW w:w="3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108,602</w:t>
            </w:r>
          </w:p>
        </w:tc>
        <w:tc>
          <w:tcPr>
            <w:tcW w:w="5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77,503</w:t>
            </w:r>
          </w:p>
        </w:tc>
        <w:tc>
          <w:tcPr>
            <w:tcW w:w="180" w:type="dxa"/>
            <w:vAlign w:val="bottom"/>
          </w:tcPr>
          <w:p>
            <w:pPr>
              <w:spacing w:after="0"/>
              <w:rPr>
                <w:sz w:val="16"/>
                <w:szCs w:val="16"/>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31,099</w:t>
            </w:r>
          </w:p>
        </w:tc>
        <w:tc>
          <w:tcPr>
            <w:tcW w:w="1400" w:type="dxa"/>
            <w:vAlign w:val="bottom"/>
            <w:gridSpan w:val="3"/>
          </w:tcPr>
          <w:p>
            <w:pPr>
              <w:jc w:val="right"/>
              <w:ind w:right="60"/>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186"/>
        </w:trPr>
        <w:tc>
          <w:tcPr>
            <w:tcW w:w="522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Professional services and other</w:t>
            </w:r>
          </w:p>
        </w:tc>
        <w:tc>
          <w:tcPr>
            <w:tcW w:w="10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5,954</w:t>
            </w:r>
          </w:p>
        </w:tc>
        <w:tc>
          <w:tcPr>
            <w:tcW w:w="180" w:type="dxa"/>
            <w:vAlign w:val="bottom"/>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4,749</w:t>
            </w: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1,205</w:t>
            </w:r>
          </w:p>
        </w:tc>
        <w:tc>
          <w:tcPr>
            <w:tcW w:w="1400" w:type="dxa"/>
            <w:vAlign w:val="bottom"/>
            <w:gridSpan w:val="3"/>
            <w:shd w:val="clear" w:color="auto" w:fill="CFF0FC"/>
          </w:tcPr>
          <w:p>
            <w:pPr>
              <w:jc w:val="right"/>
              <w:ind w:right="60"/>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177"/>
        </w:trPr>
        <w:tc>
          <w:tcPr>
            <w:tcW w:w="5220" w:type="dxa"/>
            <w:vAlign w:val="bottom"/>
          </w:tcPr>
          <w:p>
            <w:pPr>
              <w:ind w:left="400"/>
              <w:spacing w:after="0"/>
              <w:rPr>
                <w:sz w:val="20"/>
                <w:szCs w:val="20"/>
                <w:color w:val="auto"/>
              </w:rPr>
            </w:pPr>
            <w:r>
              <w:rPr>
                <w:rFonts w:ascii="Arial" w:cs="Arial" w:eastAsia="Arial" w:hAnsi="Arial"/>
                <w:sz w:val="15"/>
                <w:szCs w:val="15"/>
                <w:color w:val="auto"/>
              </w:rPr>
              <w:t>Total revenue</w:t>
            </w:r>
          </w:p>
        </w:tc>
        <w:tc>
          <w:tcPr>
            <w:tcW w:w="3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114,556</w:t>
            </w:r>
          </w:p>
        </w:tc>
        <w:tc>
          <w:tcPr>
            <w:tcW w:w="5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82,252</w:t>
            </w:r>
          </w:p>
        </w:tc>
        <w:tc>
          <w:tcPr>
            <w:tcW w:w="180" w:type="dxa"/>
            <w:vAlign w:val="bottom"/>
          </w:tcPr>
          <w:p>
            <w:pPr>
              <w:spacing w:after="0"/>
              <w:rPr>
                <w:sz w:val="15"/>
                <w:szCs w:val="15"/>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32,304</w:t>
            </w:r>
          </w:p>
        </w:tc>
        <w:tc>
          <w:tcPr>
            <w:tcW w:w="1400" w:type="dxa"/>
            <w:vAlign w:val="bottom"/>
            <w:gridSpan w:val="3"/>
          </w:tcPr>
          <w:p>
            <w:pPr>
              <w:jc w:val="right"/>
              <w:ind w:right="60"/>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right="80" w:firstLine="520"/>
        <w:spacing w:after="0" w:line="249" w:lineRule="auto"/>
        <w:rPr>
          <w:sz w:val="20"/>
          <w:szCs w:val="20"/>
          <w:color w:val="auto"/>
        </w:rPr>
      </w:pPr>
      <w:r>
        <w:rPr>
          <w:rFonts w:ascii="Arial" w:cs="Arial" w:eastAsia="Arial" w:hAnsi="Arial"/>
          <w:sz w:val="15"/>
          <w:szCs w:val="15"/>
          <w:color w:val="auto"/>
        </w:rPr>
        <w:t>Subscription revenue increased during the three months ended March 31, 2018 compared to the same period in 2017 primarily due to the increase in total customers, which grew from 31,262 as of March 31, 2017 to 44,894 as of March 31, 2018. Total average subscription revenue per customer decreased from $10,357 for the three months ended March 31, 2017 to $10,016 for the three months ended March 31, 2018. The growth in total customers was primarily driven by our increased sales representative capacity to meet market demand. The decrease in average subscription revenue per customer was driven primarily by our continued adoption of our “freemium” model which allows us to add new customers through our lower cost sales and marketing products.</w:t>
      </w:r>
    </w:p>
    <w:p>
      <w:pPr>
        <w:spacing w:after="0" w:line="158" w:lineRule="exact"/>
        <w:rPr>
          <w:sz w:val="20"/>
          <w:szCs w:val="20"/>
          <w:color w:val="auto"/>
        </w:rPr>
      </w:pPr>
    </w:p>
    <w:p>
      <w:pPr>
        <w:ind w:right="120" w:firstLine="764"/>
        <w:spacing w:after="0" w:line="263" w:lineRule="auto"/>
        <w:rPr>
          <w:sz w:val="20"/>
          <w:szCs w:val="20"/>
          <w:color w:val="auto"/>
        </w:rPr>
      </w:pPr>
      <w:r>
        <w:rPr>
          <w:rFonts w:ascii="Arial" w:cs="Arial" w:eastAsia="Arial" w:hAnsi="Arial"/>
          <w:sz w:val="15"/>
          <w:szCs w:val="15"/>
          <w:color w:val="auto"/>
        </w:rPr>
        <w:t>The 25% increase in professional services and other revenue resulted primarily from the delivery of on-boarding and training services for subscriptions sold related to the increase in total customers.</w:t>
      </w:r>
    </w:p>
    <w:p>
      <w:pPr>
        <w:spacing w:after="0" w:line="3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Cost of Revenue, Gross Profit and Gross Margin Percentage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4"/>
          </w:tcPr>
          <w:p>
            <w:pPr>
              <w:jc w:val="right"/>
              <w:ind w:right="120"/>
              <w:spacing w:after="0"/>
              <w:rPr>
                <w:sz w:val="20"/>
                <w:szCs w:val="20"/>
                <w:color w:val="auto"/>
              </w:rPr>
            </w:pPr>
            <w:r>
              <w:rPr>
                <w:rFonts w:ascii="Arial" w:cs="Arial" w:eastAsia="Arial" w:hAnsi="Arial"/>
                <w:sz w:val="12"/>
                <w:szCs w:val="12"/>
                <w:b w:val="1"/>
                <w:bCs w:val="1"/>
                <w:color w:val="auto"/>
              </w:rPr>
              <w:t>Three Months</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38"/>
        </w:trPr>
        <w:tc>
          <w:tcPr>
            <w:tcW w:w="5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2"/>
                <w:szCs w:val="12"/>
                <w:b w:val="1"/>
                <w:bCs w:val="1"/>
                <w:color w:val="auto"/>
              </w:rPr>
              <w:t>Ended March 31,</w:t>
            </w:r>
          </w:p>
        </w:tc>
        <w:tc>
          <w:tcPr>
            <w:tcW w:w="7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88"/>
        </w:trPr>
        <w:tc>
          <w:tcPr>
            <w:tcW w:w="580" w:type="dxa"/>
            <w:vAlign w:val="bottom"/>
          </w:tcPr>
          <w:p>
            <w:pPr>
              <w:spacing w:after="0"/>
              <w:rPr>
                <w:sz w:val="16"/>
                <w:szCs w:val="16"/>
                <w:color w:val="auto"/>
              </w:rPr>
            </w:pPr>
          </w:p>
        </w:tc>
        <w:tc>
          <w:tcPr>
            <w:tcW w:w="32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(dollars in thousands)</w:t>
            </w:r>
          </w:p>
        </w:tc>
        <w:tc>
          <w:tcPr>
            <w:tcW w:w="192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4"/>
              <w:spacing w:after="0"/>
              <w:rPr>
                <w:sz w:val="20"/>
                <w:szCs w:val="20"/>
                <w:color w:val="auto"/>
              </w:rPr>
            </w:pPr>
            <w:r>
              <w:rPr>
                <w:rFonts w:ascii="Arial" w:cs="Arial" w:eastAsia="Arial" w:hAnsi="Arial"/>
                <w:sz w:val="12"/>
                <w:szCs w:val="12"/>
                <w:b w:val="1"/>
                <w:bCs w:val="1"/>
                <w:color w:val="auto"/>
              </w:rPr>
              <w:t>2018</w:t>
            </w:r>
          </w:p>
        </w:tc>
        <w:tc>
          <w:tcPr>
            <w:tcW w:w="20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51"/>
              <w:spacing w:after="0"/>
              <w:rPr>
                <w:sz w:val="20"/>
                <w:szCs w:val="20"/>
                <w:color w:val="auto"/>
              </w:rPr>
            </w:pPr>
            <w:r>
              <w:rPr>
                <w:rFonts w:ascii="Arial" w:cs="Arial" w:eastAsia="Arial" w:hAnsi="Arial"/>
                <w:sz w:val="12"/>
                <w:szCs w:val="12"/>
                <w:b w:val="1"/>
                <w:bCs w:val="1"/>
                <w:color w:val="auto"/>
                <w:w w:val="97"/>
              </w:rPr>
              <w:t>2017</w:t>
            </w:r>
          </w:p>
        </w:tc>
        <w:tc>
          <w:tcPr>
            <w:tcW w:w="20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2"/>
              <w:spacing w:after="0"/>
              <w:rPr>
                <w:sz w:val="20"/>
                <w:szCs w:val="20"/>
                <w:color w:val="auto"/>
              </w:rPr>
            </w:pPr>
            <w:r>
              <w:rPr>
                <w:rFonts w:ascii="Arial" w:cs="Arial" w:eastAsia="Arial" w:hAnsi="Arial"/>
                <w:sz w:val="12"/>
                <w:szCs w:val="12"/>
                <w:b w:val="1"/>
                <w:bCs w:val="1"/>
                <w:color w:val="auto"/>
              </w:rPr>
              <w:t>$ Change</w:t>
            </w:r>
          </w:p>
        </w:tc>
        <w:tc>
          <w:tcPr>
            <w:tcW w:w="160" w:type="dxa"/>
            <w:vAlign w:val="bottom"/>
            <w:tcBorders>
              <w:bottom w:val="single" w:sz="8" w:color="CFF0FC"/>
            </w:tcBorders>
          </w:tcPr>
          <w:p>
            <w:pPr>
              <w:spacing w:after="0"/>
              <w:rPr>
                <w:sz w:val="16"/>
                <w:szCs w:val="16"/>
                <w:color w:val="auto"/>
              </w:rPr>
            </w:pPr>
          </w:p>
        </w:tc>
        <w:tc>
          <w:tcPr>
            <w:tcW w:w="1000" w:type="dxa"/>
            <w:vAlign w:val="bottom"/>
            <w:tcBorders>
              <w:bottom w:val="single" w:sz="8" w:color="auto"/>
            </w:tcBorders>
          </w:tcPr>
          <w:p>
            <w:pPr>
              <w:ind w:left="220"/>
              <w:spacing w:after="0"/>
              <w:rPr>
                <w:sz w:val="20"/>
                <w:szCs w:val="20"/>
                <w:color w:val="auto"/>
              </w:rPr>
            </w:pPr>
            <w:r>
              <w:rPr>
                <w:rFonts w:ascii="Arial" w:cs="Arial" w:eastAsia="Arial" w:hAnsi="Arial"/>
                <w:sz w:val="12"/>
                <w:szCs w:val="12"/>
                <w:b w:val="1"/>
                <w:bCs w:val="1"/>
                <w:color w:val="auto"/>
              </w:rPr>
              <w:t>% Change</w:t>
            </w:r>
          </w:p>
        </w:tc>
        <w:tc>
          <w:tcPr>
            <w:tcW w:w="180" w:type="dxa"/>
            <w:vAlign w:val="bottom"/>
            <w:tcBorders>
              <w:bottom w:val="single" w:sz="8" w:color="CFF0FC"/>
            </w:tcBorders>
          </w:tcPr>
          <w:p>
            <w:pPr>
              <w:spacing w:after="0"/>
              <w:rPr>
                <w:sz w:val="16"/>
                <w:szCs w:val="16"/>
                <w:color w:val="auto"/>
              </w:rPr>
            </w:pPr>
          </w:p>
        </w:tc>
        <w:tc>
          <w:tcPr>
            <w:tcW w:w="600" w:type="dxa"/>
            <w:vAlign w:val="bottom"/>
          </w:tcPr>
          <w:p>
            <w:pPr>
              <w:spacing w:after="0"/>
              <w:rPr>
                <w:sz w:val="16"/>
                <w:szCs w:val="16"/>
                <w:color w:val="auto"/>
              </w:rPr>
            </w:pPr>
          </w:p>
        </w:tc>
      </w:tr>
      <w:tr>
        <w:trPr>
          <w:trHeight w:val="177"/>
        </w:trPr>
        <w:tc>
          <w:tcPr>
            <w:tcW w:w="580" w:type="dxa"/>
            <w:vAlign w:val="bottom"/>
          </w:tcPr>
          <w:p>
            <w:pPr>
              <w:spacing w:after="0"/>
              <w:rPr>
                <w:sz w:val="15"/>
                <w:szCs w:val="15"/>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5"/>
                <w:szCs w:val="15"/>
                <w:color w:val="auto"/>
              </w:rPr>
              <w:t>Total cost of revenue</w:t>
            </w:r>
          </w:p>
        </w:tc>
        <w:tc>
          <w:tcPr>
            <w:tcW w:w="2240" w:type="dxa"/>
            <w:vAlign w:val="bottom"/>
            <w:gridSpan w:val="3"/>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22,377</w:t>
            </w:r>
          </w:p>
        </w:tc>
        <w:tc>
          <w:tcPr>
            <w:tcW w:w="20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17,072</w:t>
            </w:r>
          </w:p>
        </w:tc>
        <w:tc>
          <w:tcPr>
            <w:tcW w:w="20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5,305</w:t>
            </w:r>
          </w:p>
        </w:tc>
        <w:tc>
          <w:tcPr>
            <w:tcW w:w="16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31%</w:t>
            </w:r>
          </w:p>
        </w:tc>
        <w:tc>
          <w:tcPr>
            <w:tcW w:w="600" w:type="dxa"/>
            <w:vAlign w:val="bottom"/>
          </w:tcPr>
          <w:p>
            <w:pPr>
              <w:spacing w:after="0"/>
              <w:rPr>
                <w:sz w:val="15"/>
                <w:szCs w:val="15"/>
                <w:color w:val="auto"/>
              </w:rPr>
            </w:pPr>
          </w:p>
        </w:tc>
      </w:tr>
      <w:tr>
        <w:trPr>
          <w:trHeight w:val="186"/>
        </w:trPr>
        <w:tc>
          <w:tcPr>
            <w:tcW w:w="3860" w:type="dxa"/>
            <w:vAlign w:val="bottom"/>
            <w:gridSpan w:val="2"/>
          </w:tcPr>
          <w:p>
            <w:pPr>
              <w:ind w:left="580"/>
              <w:spacing w:after="0"/>
              <w:rPr>
                <w:sz w:val="20"/>
                <w:szCs w:val="20"/>
                <w:color w:val="auto"/>
              </w:rPr>
            </w:pPr>
            <w:r>
              <w:rPr>
                <w:rFonts w:ascii="Arial" w:cs="Arial" w:eastAsia="Arial" w:hAnsi="Arial"/>
                <w:sz w:val="15"/>
                <w:szCs w:val="15"/>
                <w:color w:val="auto"/>
              </w:rPr>
              <w:t>Gross profit</w:t>
            </w:r>
          </w:p>
        </w:tc>
        <w:tc>
          <w:tcPr>
            <w:tcW w:w="224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92,179</w:t>
            </w:r>
          </w:p>
        </w:tc>
        <w:tc>
          <w:tcPr>
            <w:tcW w:w="200" w:type="dxa"/>
            <w:vAlign w:val="bottom"/>
          </w:tcPr>
          <w:p>
            <w:pPr>
              <w:spacing w:after="0"/>
              <w:rPr>
                <w:sz w:val="16"/>
                <w:szCs w:val="16"/>
                <w:color w:val="auto"/>
              </w:rPr>
            </w:pPr>
          </w:p>
        </w:tc>
        <w:tc>
          <w:tcPr>
            <w:tcW w:w="4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65,180</w:t>
            </w:r>
          </w:p>
        </w:tc>
        <w:tc>
          <w:tcPr>
            <w:tcW w:w="200" w:type="dxa"/>
            <w:vAlign w:val="bottom"/>
          </w:tcPr>
          <w:p>
            <w:pPr>
              <w:spacing w:after="0"/>
              <w:rPr>
                <w:sz w:val="16"/>
                <w:szCs w:val="16"/>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26,999</w:t>
            </w:r>
          </w:p>
        </w:tc>
        <w:tc>
          <w:tcPr>
            <w:tcW w:w="16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5"/>
                <w:szCs w:val="15"/>
                <w:color w:val="auto"/>
              </w:rPr>
              <w:t>41%</w:t>
            </w:r>
          </w:p>
        </w:tc>
        <w:tc>
          <w:tcPr>
            <w:tcW w:w="600" w:type="dxa"/>
            <w:vAlign w:val="bottom"/>
          </w:tcPr>
          <w:p>
            <w:pPr>
              <w:spacing w:after="0"/>
              <w:rPr>
                <w:sz w:val="16"/>
                <w:szCs w:val="16"/>
                <w:color w:val="auto"/>
              </w:rPr>
            </w:pPr>
          </w:p>
        </w:tc>
      </w:tr>
      <w:tr>
        <w:trPr>
          <w:trHeight w:val="186"/>
        </w:trPr>
        <w:tc>
          <w:tcPr>
            <w:tcW w:w="580" w:type="dxa"/>
            <w:vAlign w:val="bottom"/>
          </w:tcPr>
          <w:p>
            <w:pPr>
              <w:spacing w:after="0"/>
              <w:rPr>
                <w:sz w:val="16"/>
                <w:szCs w:val="16"/>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5"/>
                <w:szCs w:val="15"/>
                <w:color w:val="auto"/>
              </w:rPr>
              <w:t>Gross margin percentage</w:t>
            </w:r>
          </w:p>
        </w:tc>
        <w:tc>
          <w:tcPr>
            <w:tcW w:w="1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80%</w:t>
            </w:r>
          </w:p>
        </w:tc>
        <w:tc>
          <w:tcPr>
            <w:tcW w:w="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79%</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0" w:type="dxa"/>
            <w:vAlign w:val="bottom"/>
          </w:tcPr>
          <w:p>
            <w:pPr>
              <w:spacing w:after="0"/>
              <w:rPr>
                <w:sz w:val="16"/>
                <w:szCs w:val="16"/>
                <w:color w:val="auto"/>
              </w:rPr>
            </w:pPr>
          </w:p>
        </w:tc>
      </w:tr>
      <w:tr>
        <w:trPr>
          <w:trHeight w:val="351"/>
        </w:trPr>
        <w:tc>
          <w:tcPr>
            <w:tcW w:w="5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20" w:type="dxa"/>
            <w:vAlign w:val="bottom"/>
            <w:gridSpan w:val="2"/>
          </w:tcPr>
          <w:p>
            <w:pPr>
              <w:jc w:val="right"/>
              <w:ind w:right="80"/>
              <w:spacing w:after="0"/>
              <w:rPr>
                <w:sz w:val="20"/>
                <w:szCs w:val="20"/>
                <w:color w:val="auto"/>
              </w:rPr>
            </w:pPr>
            <w:r>
              <w:rPr>
                <w:rFonts w:ascii="Arial" w:cs="Arial" w:eastAsia="Arial" w:hAnsi="Arial"/>
                <w:sz w:val="15"/>
                <w:szCs w:val="15"/>
                <w:color w:val="auto"/>
              </w:rPr>
              <w:t>23</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90"/>
        </w:trPr>
        <w:tc>
          <w:tcPr>
            <w:tcW w:w="580" w:type="dxa"/>
            <w:vAlign w:val="bottom"/>
            <w:tcBorders>
              <w:bottom w:val="single" w:sz="8" w:color="9A9A9A"/>
            </w:tcBorders>
          </w:tcPr>
          <w:p>
            <w:pPr>
              <w:spacing w:after="0"/>
              <w:rPr>
                <w:sz w:val="7"/>
                <w:szCs w:val="7"/>
                <w:color w:val="auto"/>
              </w:rPr>
            </w:pPr>
          </w:p>
        </w:tc>
        <w:tc>
          <w:tcPr>
            <w:tcW w:w="3280" w:type="dxa"/>
            <w:vAlign w:val="bottom"/>
            <w:tcBorders>
              <w:bottom w:val="single" w:sz="8" w:color="9A9A9A"/>
            </w:tcBorders>
          </w:tcPr>
          <w:p>
            <w:pPr>
              <w:spacing w:after="0"/>
              <w:rPr>
                <w:sz w:val="7"/>
                <w:szCs w:val="7"/>
                <w:color w:val="auto"/>
              </w:rPr>
            </w:pPr>
          </w:p>
        </w:tc>
        <w:tc>
          <w:tcPr>
            <w:tcW w:w="19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-26035</wp:posOffset>
            </wp:positionV>
            <wp:extent cx="32385"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479" w:right="199" w:bottom="1440" w:gutter="0" w:footer="0" w:header="0"/>
        </w:sectPr>
      </w:pPr>
    </w:p>
    <w:bookmarkStart w:id="23" w:name="page24"/>
    <w:bookmarkEnd w:id="23"/>
    <w:p>
      <w:pPr>
        <w:ind w:firstLine="520"/>
        <w:spacing w:after="0" w:line="253" w:lineRule="auto"/>
        <w:rPr>
          <w:sz w:val="20"/>
          <w:szCs w:val="20"/>
          <w:color w:val="auto"/>
        </w:rPr>
      </w:pPr>
      <w:r>
        <w:rPr>
          <w:rFonts w:ascii="Arial" w:cs="Arial" w:eastAsia="Arial" w:hAnsi="Arial"/>
          <w:sz w:val="15"/>
          <w:szCs w:val="15"/>
          <w:color w:val="auto"/>
        </w:rPr>
        <w:t>Total cost of revenue for the three months ended March 31, 2018 increased compared to the same period in 2017 primarily due to an increase in subscription and hosting costs, employee-related costs, amortization of developed technology, and allocated overhead expenses. The increase in gross margin was primarily driven by improved leverage of our hosting costs relative to growth in subscription revenue.</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38"/>
        </w:trPr>
        <w:tc>
          <w:tcPr>
            <w:tcW w:w="5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4"/>
          </w:tcPr>
          <w:p>
            <w:pPr>
              <w:jc w:val="center"/>
              <w:ind w:left="376"/>
              <w:spacing w:after="0"/>
              <w:rPr>
                <w:sz w:val="20"/>
                <w:szCs w:val="20"/>
                <w:color w:val="auto"/>
              </w:rPr>
            </w:pPr>
            <w:r>
              <w:rPr>
                <w:rFonts w:ascii="Arial" w:cs="Arial" w:eastAsia="Arial" w:hAnsi="Arial"/>
                <w:sz w:val="12"/>
                <w:szCs w:val="12"/>
                <w:b w:val="1"/>
                <w:bCs w:val="1"/>
                <w:color w:val="auto"/>
                <w:w w:val="88"/>
              </w:rPr>
              <w:t>Three Months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8"/>
        </w:trPr>
        <w:tc>
          <w:tcPr>
            <w:tcW w:w="5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4"/>
          </w:tcPr>
          <w:p>
            <w:pPr>
              <w:jc w:val="center"/>
              <w:ind w:left="376"/>
              <w:spacing w:after="0"/>
              <w:rPr>
                <w:sz w:val="20"/>
                <w:szCs w:val="20"/>
                <w:color w:val="auto"/>
              </w:rPr>
            </w:pPr>
            <w:r>
              <w:rPr>
                <w:rFonts w:ascii="Arial" w:cs="Arial" w:eastAsia="Arial" w:hAnsi="Arial"/>
                <w:sz w:val="12"/>
                <w:szCs w:val="12"/>
                <w:b w:val="1"/>
                <w:bCs w:val="1"/>
                <w:color w:val="auto"/>
                <w:w w:val="90"/>
              </w:rPr>
              <w:t>Ended March 31,</w:t>
            </w:r>
          </w:p>
        </w:tc>
        <w:tc>
          <w:tcPr>
            <w:tcW w:w="6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88"/>
        </w:trPr>
        <w:tc>
          <w:tcPr>
            <w:tcW w:w="50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(dollars in thousands)</w:t>
            </w:r>
          </w:p>
        </w:tc>
        <w:tc>
          <w:tcPr>
            <w:tcW w:w="12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6"/>
              <w:spacing w:after="0"/>
              <w:rPr>
                <w:sz w:val="20"/>
                <w:szCs w:val="20"/>
                <w:color w:val="auto"/>
              </w:rPr>
            </w:pPr>
            <w:r>
              <w:rPr>
                <w:rFonts w:ascii="Arial" w:cs="Arial" w:eastAsia="Arial" w:hAnsi="Arial"/>
                <w:sz w:val="12"/>
                <w:szCs w:val="12"/>
                <w:b w:val="1"/>
                <w:bCs w:val="1"/>
                <w:color w:val="auto"/>
              </w:rPr>
              <w:t>2018</w:t>
            </w:r>
          </w:p>
        </w:tc>
        <w:tc>
          <w:tcPr>
            <w:tcW w:w="18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32"/>
              <w:spacing w:after="0"/>
              <w:rPr>
                <w:sz w:val="20"/>
                <w:szCs w:val="20"/>
                <w:color w:val="auto"/>
              </w:rPr>
            </w:pPr>
            <w:r>
              <w:rPr>
                <w:rFonts w:ascii="Arial" w:cs="Arial" w:eastAsia="Arial" w:hAnsi="Arial"/>
                <w:sz w:val="12"/>
                <w:szCs w:val="12"/>
                <w:b w:val="1"/>
                <w:bCs w:val="1"/>
                <w:color w:val="auto"/>
                <w:w w:val="97"/>
              </w:rPr>
              <w:t>2017</w:t>
            </w:r>
          </w:p>
        </w:tc>
        <w:tc>
          <w:tcPr>
            <w:tcW w:w="200" w:type="dxa"/>
            <w:vAlign w:val="bottom"/>
            <w:tcBorders>
              <w:bottom w:val="single" w:sz="8" w:color="CFF0FC"/>
            </w:tcBorders>
          </w:tcPr>
          <w:p>
            <w:pPr>
              <w:spacing w:after="0"/>
              <w:rPr>
                <w:sz w:val="16"/>
                <w:szCs w:val="16"/>
                <w:color w:val="auto"/>
              </w:rPr>
            </w:pPr>
          </w:p>
        </w:tc>
        <w:tc>
          <w:tcPr>
            <w:tcW w:w="6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2"/>
                <w:szCs w:val="12"/>
                <w:b w:val="1"/>
                <w:bCs w:val="1"/>
                <w:color w:val="auto"/>
              </w:rPr>
              <w:t>$ Change</w:t>
            </w:r>
          </w:p>
        </w:tc>
        <w:tc>
          <w:tcPr>
            <w:tcW w:w="220" w:type="dxa"/>
            <w:vAlign w:val="bottom"/>
            <w:tcBorders>
              <w:bottom w:val="single" w:sz="8" w:color="CFF0FC"/>
            </w:tcBorders>
          </w:tcPr>
          <w:p>
            <w:pPr>
              <w:spacing w:after="0"/>
              <w:rPr>
                <w:sz w:val="16"/>
                <w:szCs w:val="16"/>
                <w:color w:val="auto"/>
              </w:rPr>
            </w:pPr>
          </w:p>
        </w:tc>
        <w:tc>
          <w:tcPr>
            <w:tcW w:w="1020" w:type="dxa"/>
            <w:vAlign w:val="bottom"/>
            <w:tcBorders>
              <w:bottom w:val="single" w:sz="8" w:color="auto"/>
            </w:tcBorders>
          </w:tcPr>
          <w:p>
            <w:pPr>
              <w:ind w:left="240"/>
              <w:spacing w:after="0"/>
              <w:rPr>
                <w:sz w:val="20"/>
                <w:szCs w:val="20"/>
                <w:color w:val="auto"/>
              </w:rPr>
            </w:pPr>
            <w:r>
              <w:rPr>
                <w:rFonts w:ascii="Arial" w:cs="Arial" w:eastAsia="Arial" w:hAnsi="Arial"/>
                <w:sz w:val="12"/>
                <w:szCs w:val="12"/>
                <w:b w:val="1"/>
                <w:bCs w:val="1"/>
                <w:color w:val="auto"/>
              </w:rPr>
              <w:t>% Change</w:t>
            </w:r>
          </w:p>
        </w:tc>
        <w:tc>
          <w:tcPr>
            <w:tcW w:w="140" w:type="dxa"/>
            <w:vAlign w:val="bottom"/>
            <w:tcBorders>
              <w:bottom w:val="single" w:sz="8" w:color="CFF0FC"/>
            </w:tcBorders>
          </w:tcPr>
          <w:p>
            <w:pPr>
              <w:spacing w:after="0"/>
              <w:rPr>
                <w:sz w:val="16"/>
                <w:szCs w:val="16"/>
                <w:color w:val="auto"/>
              </w:rPr>
            </w:pPr>
          </w:p>
        </w:tc>
      </w:tr>
      <w:tr>
        <w:trPr>
          <w:trHeight w:val="177"/>
        </w:trPr>
        <w:tc>
          <w:tcPr>
            <w:tcW w:w="5020" w:type="dxa"/>
            <w:vAlign w:val="bottom"/>
            <w:shd w:val="clear" w:color="auto" w:fill="CFF0FC"/>
          </w:tcPr>
          <w:p>
            <w:pPr>
              <w:spacing w:after="0"/>
              <w:rPr>
                <w:sz w:val="20"/>
                <w:szCs w:val="20"/>
                <w:color w:val="auto"/>
              </w:rPr>
            </w:pPr>
            <w:r>
              <w:rPr>
                <w:rFonts w:ascii="Arial" w:cs="Arial" w:eastAsia="Arial" w:hAnsi="Arial"/>
                <w:sz w:val="15"/>
                <w:szCs w:val="15"/>
                <w:color w:val="auto"/>
              </w:rPr>
              <w:t>Subscription cost of revenue</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15,235</w:t>
            </w:r>
          </w:p>
        </w:tc>
        <w:tc>
          <w:tcPr>
            <w:tcW w:w="18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11,409</w:t>
            </w:r>
          </w:p>
        </w:tc>
        <w:tc>
          <w:tcPr>
            <w:tcW w:w="20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3,826</w:t>
            </w:r>
          </w:p>
        </w:tc>
        <w:tc>
          <w:tcPr>
            <w:tcW w:w="2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34%</w:t>
            </w:r>
          </w:p>
        </w:tc>
      </w:tr>
      <w:tr>
        <w:trPr>
          <w:trHeight w:val="187"/>
        </w:trPr>
        <w:tc>
          <w:tcPr>
            <w:tcW w:w="5020" w:type="dxa"/>
            <w:vAlign w:val="bottom"/>
          </w:tcPr>
          <w:p>
            <w:pPr>
              <w:spacing w:after="0"/>
              <w:rPr>
                <w:sz w:val="20"/>
                <w:szCs w:val="20"/>
                <w:color w:val="auto"/>
              </w:rPr>
            </w:pPr>
            <w:r>
              <w:rPr>
                <w:rFonts w:ascii="Arial" w:cs="Arial" w:eastAsia="Arial" w:hAnsi="Arial"/>
                <w:sz w:val="15"/>
                <w:szCs w:val="15"/>
                <w:color w:val="auto"/>
              </w:rPr>
              <w:t>Percentage of subscription revenue</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14%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15%</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r>
    </w:tbl>
    <w:p>
      <w:pPr>
        <w:spacing w:after="0" w:line="18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increase in subscription cost of revenue for the three month period ended March 31, 2018 compared to the same period in 2017 was primarily due to the following:</w:t>
      </w:r>
    </w:p>
    <w:p>
      <w:pPr>
        <w:spacing w:after="0" w:line="194" w:lineRule="exact"/>
        <w:rPr>
          <w:sz w:val="20"/>
          <w:szCs w:val="20"/>
          <w:color w:val="auto"/>
        </w:rPr>
      </w:pPr>
    </w:p>
    <w:p>
      <w:pPr>
        <w:jc w:val="center"/>
        <w:ind w:left="6720"/>
        <w:spacing w:after="0"/>
        <w:rPr>
          <w:sz w:val="20"/>
          <w:szCs w:val="20"/>
          <w:color w:val="auto"/>
        </w:rPr>
      </w:pPr>
      <w:r>
        <w:rPr>
          <w:rFonts w:ascii="Arial" w:cs="Arial" w:eastAsia="Arial" w:hAnsi="Arial"/>
          <w:sz w:val="12"/>
          <w:szCs w:val="12"/>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5417185</wp:posOffset>
            </wp:positionH>
            <wp:positionV relativeFrom="paragraph">
              <wp:posOffset>0</wp:posOffset>
            </wp:positionV>
            <wp:extent cx="72453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535" cy="6985"/>
                    </a:xfrm>
                    <a:prstGeom prst="rect">
                      <a:avLst/>
                    </a:prstGeom>
                    <a:noFill/>
                  </pic:spPr>
                </pic:pic>
              </a:graphicData>
            </a:graphic>
          </wp:anchor>
        </w:drawing>
      </w:r>
    </w:p>
    <w:p>
      <w:pPr>
        <w:jc w:val="center"/>
        <w:ind w:left="6720"/>
        <w:spacing w:after="0"/>
        <w:rPr>
          <w:sz w:val="20"/>
          <w:szCs w:val="20"/>
          <w:color w:val="auto"/>
        </w:rPr>
      </w:pPr>
      <w:r>
        <w:rPr>
          <w:rFonts w:ascii="Arial" w:cs="Arial" w:eastAsia="Arial" w:hAnsi="Arial"/>
          <w:sz w:val="12"/>
          <w:szCs w:val="12"/>
          <w:b w:val="1"/>
          <w:bCs w:val="1"/>
          <w:color w:val="auto"/>
        </w:rPr>
        <w:t>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5417185</wp:posOffset>
            </wp:positionH>
            <wp:positionV relativeFrom="paragraph">
              <wp:posOffset>-3810</wp:posOffset>
            </wp:positionV>
            <wp:extent cx="72453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535" cy="6985"/>
                    </a:xfrm>
                    <a:prstGeom prst="rect">
                      <a:avLst/>
                    </a:prstGeom>
                    <a:noFill/>
                  </pic:spPr>
                </pic:pic>
              </a:graphicData>
            </a:graphic>
          </wp:anchor>
        </w:drawing>
      </w:r>
    </w:p>
    <w:p>
      <w:pPr>
        <w:jc w:val="center"/>
        <w:ind w:left="6720"/>
        <w:spacing w:after="0"/>
        <w:rPr>
          <w:sz w:val="20"/>
          <w:szCs w:val="20"/>
          <w:color w:val="auto"/>
        </w:rPr>
      </w:pPr>
      <w:r>
        <w:rPr>
          <w:rFonts w:ascii="Arial" w:cs="Arial" w:eastAsia="Arial" w:hAnsi="Arial"/>
          <w:sz w:val="12"/>
          <w:szCs w:val="12"/>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1098550</wp:posOffset>
            </wp:positionH>
            <wp:positionV relativeFrom="paragraph">
              <wp:posOffset>-3810</wp:posOffset>
            </wp:positionV>
            <wp:extent cx="5085080" cy="1250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085080" cy="125095"/>
                    </a:xfrm>
                    <a:prstGeom prst="rect">
                      <a:avLst/>
                    </a:prstGeom>
                    <a:noFill/>
                  </pic:spPr>
                </pic:pic>
              </a:graphicData>
            </a:graphic>
          </wp:anchor>
        </w:drawing>
      </w:r>
    </w:p>
    <w:p>
      <w:pPr>
        <w:sectPr>
          <w:pgSz w:w="11900" w:h="16838" w:orient="portrait"/>
          <w:cols w:equalWidth="0" w:num="1">
            <w:col w:w="11420"/>
          </w:cols>
          <w:pgMar w:left="220" w:top="513" w:right="259" w:bottom="1440" w:gutter="0" w:footer="0" w:header="0"/>
        </w:sectPr>
      </w:pPr>
    </w:p>
    <w:p>
      <w:pPr>
        <w:spacing w:after="0" w:line="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Subscription and hosting costs</w:t>
      </w:r>
    </w:p>
    <w:p>
      <w:pPr>
        <w:spacing w:after="0" w:line="36"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Employee-related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1098550</wp:posOffset>
            </wp:positionH>
            <wp:positionV relativeFrom="paragraph">
              <wp:posOffset>8890</wp:posOffset>
            </wp:positionV>
            <wp:extent cx="5085080" cy="1250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085080" cy="125095"/>
                    </a:xfrm>
                    <a:prstGeom prst="rect">
                      <a:avLst/>
                    </a:prstGeom>
                    <a:noFill/>
                  </pic:spPr>
                </pic:pic>
              </a:graphicData>
            </a:graphic>
          </wp:anchor>
        </w:drawing>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Capitalized software amortization</w:t>
      </w:r>
    </w:p>
    <w:p>
      <w:pPr>
        <w:spacing w:after="0" w:line="48"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Allocated overhead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1098550</wp:posOffset>
            </wp:positionH>
            <wp:positionV relativeFrom="paragraph">
              <wp:posOffset>8890</wp:posOffset>
            </wp:positionV>
            <wp:extent cx="5085080" cy="1390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085080" cy="139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809" w:hanging="809"/>
        <w:spacing w:after="0"/>
        <w:tabs>
          <w:tab w:leader="none" w:pos="809" w:val="left"/>
        </w:tabs>
        <w:numPr>
          <w:ilvl w:val="0"/>
          <w:numId w:val="7"/>
        </w:numPr>
        <w:rPr>
          <w:rFonts w:ascii="Arial" w:cs="Arial" w:eastAsia="Arial" w:hAnsi="Arial"/>
          <w:sz w:val="11"/>
          <w:szCs w:val="11"/>
          <w:color w:val="auto"/>
        </w:rPr>
      </w:pPr>
      <w:r>
        <w:rPr>
          <w:rFonts w:ascii="Arial" w:cs="Arial" w:eastAsia="Arial" w:hAnsi="Arial"/>
          <w:sz w:val="11"/>
          <w:szCs w:val="11"/>
          <w:color w:val="auto"/>
        </w:rPr>
        <w:t>1,636</w:t>
      </w:r>
    </w:p>
    <w:p>
      <w:pPr>
        <w:spacing w:after="0" w:line="70" w:lineRule="exact"/>
        <w:rPr>
          <w:rFonts w:ascii="Arial" w:cs="Arial" w:eastAsia="Arial" w:hAnsi="Arial"/>
          <w:sz w:val="11"/>
          <w:szCs w:val="11"/>
          <w:color w:val="auto"/>
        </w:rPr>
      </w:pPr>
    </w:p>
    <w:p>
      <w:pPr>
        <w:ind w:left="809"/>
        <w:spacing w:after="0"/>
        <w:rPr>
          <w:rFonts w:ascii="Arial" w:cs="Arial" w:eastAsia="Arial" w:hAnsi="Arial"/>
          <w:sz w:val="11"/>
          <w:szCs w:val="11"/>
          <w:color w:val="auto"/>
        </w:rPr>
      </w:pPr>
      <w:r>
        <w:rPr>
          <w:rFonts w:ascii="Arial" w:cs="Arial" w:eastAsia="Arial" w:hAnsi="Arial"/>
          <w:sz w:val="11"/>
          <w:szCs w:val="11"/>
          <w:color w:val="auto"/>
        </w:rPr>
        <w:t>1,297</w:t>
      </w:r>
    </w:p>
    <w:p>
      <w:pPr>
        <w:spacing w:after="0" w:line="70" w:lineRule="exact"/>
        <w:rPr>
          <w:rFonts w:ascii="Arial" w:cs="Arial" w:eastAsia="Arial" w:hAnsi="Arial"/>
          <w:sz w:val="11"/>
          <w:szCs w:val="11"/>
          <w:color w:val="auto"/>
        </w:rPr>
      </w:pPr>
    </w:p>
    <w:p>
      <w:pPr>
        <w:ind w:left="909"/>
        <w:spacing w:after="0"/>
        <w:rPr>
          <w:rFonts w:ascii="Arial" w:cs="Arial" w:eastAsia="Arial" w:hAnsi="Arial"/>
          <w:sz w:val="11"/>
          <w:szCs w:val="11"/>
          <w:color w:val="auto"/>
        </w:rPr>
      </w:pPr>
      <w:r>
        <w:rPr>
          <w:rFonts w:ascii="Arial" w:cs="Arial" w:eastAsia="Arial" w:hAnsi="Arial"/>
          <w:sz w:val="13"/>
          <w:szCs w:val="13"/>
          <w:color w:val="auto"/>
        </w:rPr>
        <w:t>716</w:t>
      </w:r>
    </w:p>
    <w:p>
      <w:pPr>
        <w:spacing w:after="0" w:line="47" w:lineRule="exact"/>
        <w:rPr>
          <w:rFonts w:ascii="Arial" w:cs="Arial" w:eastAsia="Arial" w:hAnsi="Arial"/>
          <w:sz w:val="11"/>
          <w:szCs w:val="11"/>
          <w:color w:val="auto"/>
        </w:rPr>
      </w:pPr>
    </w:p>
    <w:p>
      <w:pPr>
        <w:ind w:left="909"/>
        <w:spacing w:after="0"/>
        <w:rPr>
          <w:rFonts w:ascii="Arial" w:cs="Arial" w:eastAsia="Arial" w:hAnsi="Arial"/>
          <w:sz w:val="11"/>
          <w:szCs w:val="11"/>
          <w:color w:val="auto"/>
        </w:rPr>
      </w:pPr>
      <w:r>
        <w:rPr>
          <w:rFonts w:ascii="Arial" w:cs="Arial" w:eastAsia="Arial" w:hAnsi="Arial"/>
          <w:sz w:val="13"/>
          <w:szCs w:val="13"/>
          <w:color w:val="auto"/>
        </w:rPr>
        <w:t>177</w:t>
      </w:r>
    </w:p>
    <w:p>
      <w:pPr>
        <w:spacing w:after="0" w:line="59" w:lineRule="exact"/>
        <w:rPr>
          <w:sz w:val="20"/>
          <w:szCs w:val="20"/>
          <w:color w:val="auto"/>
        </w:rPr>
      </w:pPr>
    </w:p>
    <w:p>
      <w:pPr>
        <w:ind w:left="809" w:hanging="809"/>
        <w:spacing w:after="0"/>
        <w:tabs>
          <w:tab w:leader="none" w:pos="809" w:val="left"/>
        </w:tabs>
        <w:numPr>
          <w:ilvl w:val="0"/>
          <w:numId w:val="8"/>
        </w:numPr>
        <w:rPr>
          <w:rFonts w:ascii="Arial" w:cs="Arial" w:eastAsia="Arial" w:hAnsi="Arial"/>
          <w:sz w:val="11"/>
          <w:szCs w:val="11"/>
          <w:color w:val="auto"/>
        </w:rPr>
      </w:pPr>
      <w:r>
        <w:rPr>
          <w:rFonts w:ascii="Arial" w:cs="Arial" w:eastAsia="Arial" w:hAnsi="Arial"/>
          <w:sz w:val="11"/>
          <w:szCs w:val="11"/>
          <w:color w:val="auto"/>
        </w:rPr>
        <w:t>3,826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72453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53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11" w:space="720"/>
            <w:col w:w="2889"/>
          </w:cols>
          <w:pgMar w:left="220" w:top="513" w:right="259" w:bottom="1440" w:gutter="0" w:footer="0" w:header="0"/>
          <w:type w:val="continuous"/>
        </w:sectPr>
      </w:pPr>
    </w:p>
    <w:p>
      <w:pPr>
        <w:spacing w:after="0" w:line="57" w:lineRule="exact"/>
        <w:rPr>
          <w:sz w:val="20"/>
          <w:szCs w:val="20"/>
          <w:color w:val="auto"/>
        </w:rPr>
      </w:pPr>
    </w:p>
    <w:p>
      <w:pPr>
        <w:ind w:right="40" w:firstLine="520"/>
        <w:spacing w:after="0" w:line="301" w:lineRule="auto"/>
        <w:rPr>
          <w:sz w:val="20"/>
          <w:szCs w:val="20"/>
          <w:color w:val="auto"/>
        </w:rPr>
      </w:pPr>
      <w:r>
        <w:rPr>
          <w:rFonts w:ascii="Arial" w:cs="Arial" w:eastAsia="Arial" w:hAnsi="Arial"/>
          <w:sz w:val="13"/>
          <w:szCs w:val="13"/>
          <w:color w:val="auto"/>
        </w:rPr>
        <w:t>Subscription and hosting costs increased due to growth in our total customer base from 31,262 at March 31, 2017 to 44,894 at March 31, 2018. Employee-related costs increased as a result of increased headcount as we continue to grow our customer support organization to support our customer growth and improve service levels and offerings. Amortization of capitalized software development costs increased due to the increased number of developers working on our software platform as we continue to develop new products and increased functionality. Allocated overhead expenses increased due to expansion of our leased space and infrastructure as we continue to grow our business and expand headcount.</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38"/>
        </w:trPr>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4"/>
          </w:tcPr>
          <w:p>
            <w:pPr>
              <w:jc w:val="center"/>
              <w:ind w:left="396"/>
              <w:spacing w:after="0"/>
              <w:rPr>
                <w:sz w:val="20"/>
                <w:szCs w:val="20"/>
                <w:color w:val="auto"/>
              </w:rPr>
            </w:pPr>
            <w:r>
              <w:rPr>
                <w:rFonts w:ascii="Arial" w:cs="Arial" w:eastAsia="Arial" w:hAnsi="Arial"/>
                <w:sz w:val="12"/>
                <w:szCs w:val="12"/>
                <w:b w:val="1"/>
                <w:bCs w:val="1"/>
                <w:color w:val="auto"/>
                <w:w w:val="91"/>
              </w:rPr>
              <w:t>Three Months</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38"/>
        </w:trPr>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4"/>
          </w:tcPr>
          <w:p>
            <w:pPr>
              <w:jc w:val="center"/>
              <w:ind w:left="376"/>
              <w:spacing w:after="0"/>
              <w:rPr>
                <w:sz w:val="20"/>
                <w:szCs w:val="20"/>
                <w:color w:val="auto"/>
              </w:rPr>
            </w:pPr>
            <w:r>
              <w:rPr>
                <w:rFonts w:ascii="Arial" w:cs="Arial" w:eastAsia="Arial" w:hAnsi="Arial"/>
                <w:sz w:val="12"/>
                <w:szCs w:val="12"/>
                <w:b w:val="1"/>
                <w:bCs w:val="1"/>
                <w:color w:val="auto"/>
                <w:w w:val="90"/>
              </w:rPr>
              <w:t>Ended March 31,</w:t>
            </w:r>
          </w:p>
        </w:tc>
        <w:tc>
          <w:tcPr>
            <w:tcW w:w="7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88"/>
        </w:trPr>
        <w:tc>
          <w:tcPr>
            <w:tcW w:w="5060" w:type="dxa"/>
            <w:vAlign w:val="bottom"/>
          </w:tcPr>
          <w:p>
            <w:pPr>
              <w:spacing w:after="0"/>
              <w:rPr>
                <w:sz w:val="20"/>
                <w:szCs w:val="20"/>
                <w:color w:val="auto"/>
              </w:rPr>
            </w:pPr>
            <w:r>
              <w:rPr>
                <w:rFonts w:ascii="Arial" w:cs="Arial" w:eastAsia="Arial" w:hAnsi="Arial"/>
                <w:sz w:val="12"/>
                <w:szCs w:val="12"/>
                <w:b w:val="1"/>
                <w:bCs w:val="1"/>
                <w:color w:val="auto"/>
              </w:rPr>
              <w:t>(dollars in thousands)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336"/>
              <w:spacing w:after="0"/>
              <w:rPr>
                <w:sz w:val="20"/>
                <w:szCs w:val="20"/>
                <w:color w:val="auto"/>
              </w:rPr>
            </w:pPr>
            <w:r>
              <w:rPr>
                <w:rFonts w:ascii="Arial" w:cs="Arial" w:eastAsia="Arial" w:hAnsi="Arial"/>
                <w:sz w:val="12"/>
                <w:szCs w:val="12"/>
                <w:b w:val="1"/>
                <w:bCs w:val="1"/>
                <w:color w:val="auto"/>
              </w:rPr>
              <w:t>2018</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ind w:right="332"/>
              <w:spacing w:after="0"/>
              <w:rPr>
                <w:sz w:val="20"/>
                <w:szCs w:val="20"/>
                <w:color w:val="auto"/>
              </w:rPr>
            </w:pPr>
            <w:r>
              <w:rPr>
                <w:rFonts w:ascii="Arial" w:cs="Arial" w:eastAsia="Arial" w:hAnsi="Arial"/>
                <w:sz w:val="12"/>
                <w:szCs w:val="12"/>
                <w:b w:val="1"/>
                <w:bCs w:val="1"/>
                <w:color w:val="auto"/>
              </w:rPr>
              <w:t>2017</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 Change</w:t>
            </w:r>
          </w:p>
        </w:tc>
        <w:tc>
          <w:tcPr>
            <w:tcW w:w="116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 Change</w:t>
            </w:r>
          </w:p>
        </w:tc>
      </w:tr>
      <w:tr>
        <w:trPr>
          <w:trHeight w:val="167"/>
        </w:trPr>
        <w:tc>
          <w:tcPr>
            <w:tcW w:w="5060" w:type="dxa"/>
            <w:vAlign w:val="bottom"/>
            <w:tcBorders>
              <w:top w:val="single" w:sz="8" w:color="auto"/>
            </w:tcBorders>
            <w:shd w:val="clear" w:color="auto" w:fill="CFF0FC"/>
          </w:tcPr>
          <w:p>
            <w:pPr>
              <w:spacing w:after="0" w:line="167" w:lineRule="exact"/>
              <w:rPr>
                <w:sz w:val="20"/>
                <w:szCs w:val="20"/>
                <w:color w:val="auto"/>
              </w:rPr>
            </w:pPr>
            <w:r>
              <w:rPr>
                <w:rFonts w:ascii="Arial" w:cs="Arial" w:eastAsia="Arial" w:hAnsi="Arial"/>
                <w:sz w:val="15"/>
                <w:szCs w:val="15"/>
                <w:color w:val="auto"/>
              </w:rPr>
              <w:t>Professional services and other cost of</w:t>
            </w:r>
          </w:p>
        </w:tc>
        <w:tc>
          <w:tcPr>
            <w:tcW w:w="10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r>
      <w:tr>
        <w:trPr>
          <w:trHeight w:val="186"/>
        </w:trPr>
        <w:tc>
          <w:tcPr>
            <w:tcW w:w="5060" w:type="dxa"/>
            <w:vAlign w:val="bottom"/>
            <w:shd w:val="clear" w:color="auto" w:fill="CFF0FC"/>
          </w:tcPr>
          <w:p>
            <w:pPr>
              <w:ind w:left="120"/>
              <w:spacing w:after="0"/>
              <w:rPr>
                <w:sz w:val="20"/>
                <w:szCs w:val="20"/>
                <w:color w:val="auto"/>
              </w:rPr>
            </w:pPr>
            <w:r>
              <w:rPr>
                <w:rFonts w:ascii="Arial" w:cs="Arial" w:eastAsia="Arial" w:hAnsi="Arial"/>
                <w:sz w:val="15"/>
                <w:szCs w:val="15"/>
                <w:color w:val="auto"/>
              </w:rPr>
              <w:t>revenue</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7,142</w:t>
            </w:r>
          </w:p>
        </w:tc>
        <w:tc>
          <w:tcPr>
            <w:tcW w:w="200" w:type="dxa"/>
            <w:vAlign w:val="bottom"/>
            <w:shd w:val="clear" w:color="auto" w:fill="CFF0FC"/>
          </w:tcPr>
          <w:p>
            <w:pPr>
              <w:spacing w:after="0"/>
              <w:rPr>
                <w:sz w:val="16"/>
                <w:szCs w:val="16"/>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5,663</w:t>
            </w:r>
          </w:p>
        </w:tc>
        <w:tc>
          <w:tcPr>
            <w:tcW w:w="20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1,479</w:t>
            </w:r>
          </w:p>
        </w:tc>
        <w:tc>
          <w:tcPr>
            <w:tcW w:w="14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26%</w:t>
            </w:r>
          </w:p>
        </w:tc>
      </w:tr>
      <w:tr>
        <w:trPr>
          <w:trHeight w:val="176"/>
        </w:trPr>
        <w:tc>
          <w:tcPr>
            <w:tcW w:w="5060" w:type="dxa"/>
            <w:vAlign w:val="bottom"/>
          </w:tcPr>
          <w:p>
            <w:pPr>
              <w:spacing w:after="0"/>
              <w:rPr>
                <w:sz w:val="20"/>
                <w:szCs w:val="20"/>
                <w:color w:val="auto"/>
              </w:rPr>
            </w:pPr>
            <w:r>
              <w:rPr>
                <w:rFonts w:ascii="Arial" w:cs="Arial" w:eastAsia="Arial" w:hAnsi="Arial"/>
                <w:sz w:val="15"/>
                <w:szCs w:val="15"/>
                <w:color w:val="auto"/>
              </w:rPr>
              <w:t>Percentage of professional services and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6"/>
        </w:trPr>
        <w:tc>
          <w:tcPr>
            <w:tcW w:w="5060" w:type="dxa"/>
            <w:vAlign w:val="bottom"/>
          </w:tcPr>
          <w:p>
            <w:pPr>
              <w:ind w:left="120"/>
              <w:spacing w:after="0"/>
              <w:rPr>
                <w:sz w:val="20"/>
                <w:szCs w:val="20"/>
                <w:color w:val="auto"/>
              </w:rPr>
            </w:pPr>
            <w:r>
              <w:rPr>
                <w:rFonts w:ascii="Arial" w:cs="Arial" w:eastAsia="Arial" w:hAnsi="Arial"/>
                <w:sz w:val="15"/>
                <w:szCs w:val="15"/>
                <w:color w:val="auto"/>
              </w:rPr>
              <w:t>other revenue</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120%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119%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r>
    </w:tbl>
    <w:p>
      <w:pPr>
        <w:spacing w:after="0" w:line="231" w:lineRule="exact"/>
        <w:rPr>
          <w:sz w:val="20"/>
          <w:szCs w:val="20"/>
          <w:color w:val="auto"/>
        </w:rPr>
      </w:pPr>
    </w:p>
    <w:p>
      <w:pPr>
        <w:ind w:left="780"/>
        <w:spacing w:after="0"/>
        <w:rPr>
          <w:sz w:val="20"/>
          <w:szCs w:val="20"/>
          <w:color w:val="auto"/>
        </w:rPr>
      </w:pPr>
      <w:r>
        <w:rPr>
          <w:rFonts w:ascii="Arial" w:cs="Arial" w:eastAsia="Arial" w:hAnsi="Arial"/>
          <w:sz w:val="13"/>
          <w:szCs w:val="13"/>
          <w:color w:val="auto"/>
        </w:rPr>
        <w:t>The increase in professional services and other cost of revenue for the three month period ended March 31, 2018 compared to the same period in 2017 was primarily due to the</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following:</w:t>
      </w:r>
    </w:p>
    <w:p>
      <w:pPr>
        <w:spacing w:after="0" w:line="227" w:lineRule="exact"/>
        <w:rPr>
          <w:sz w:val="20"/>
          <w:szCs w:val="20"/>
          <w:color w:val="auto"/>
        </w:rPr>
      </w:pPr>
    </w:p>
    <w:tbl>
      <w:tblPr>
        <w:tblLayout w:type="fixed"/>
        <w:tblInd w:w="1740" w:type="dxa"/>
        <w:tblCellMar>
          <w:top w:w="0" w:type="dxa"/>
          <w:left w:w="0" w:type="dxa"/>
          <w:bottom w:w="0" w:type="dxa"/>
          <w:right w:w="0" w:type="dxa"/>
        </w:tblCellMar>
      </w:tblPr>
      <w:tr>
        <w:trPr>
          <w:trHeight w:val="138"/>
        </w:trPr>
        <w:tc>
          <w:tcPr>
            <w:tcW w:w="68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2"/>
                <w:szCs w:val="12"/>
                <w:b w:val="1"/>
                <w:bCs w:val="1"/>
                <w:color w:val="auto"/>
              </w:rPr>
              <w:t>Change</w:t>
            </w:r>
          </w:p>
        </w:tc>
        <w:tc>
          <w:tcPr>
            <w:tcW w:w="60" w:type="dxa"/>
            <w:vAlign w:val="bottom"/>
          </w:tcPr>
          <w:p>
            <w:pPr>
              <w:spacing w:after="0"/>
              <w:rPr>
                <w:sz w:val="12"/>
                <w:szCs w:val="12"/>
                <w:color w:val="auto"/>
              </w:rPr>
            </w:pPr>
          </w:p>
        </w:tc>
      </w:tr>
      <w:tr>
        <w:trPr>
          <w:trHeight w:val="177"/>
        </w:trPr>
        <w:tc>
          <w:tcPr>
            <w:tcW w:w="68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54"/>
              <w:spacing w:after="0"/>
              <w:rPr>
                <w:sz w:val="20"/>
                <w:szCs w:val="20"/>
                <w:color w:val="auto"/>
              </w:rPr>
            </w:pPr>
            <w:r>
              <w:rPr>
                <w:rFonts w:ascii="Arial" w:cs="Arial" w:eastAsia="Arial" w:hAnsi="Arial"/>
                <w:sz w:val="12"/>
                <w:szCs w:val="12"/>
                <w:b w:val="1"/>
                <w:bCs w:val="1"/>
                <w:color w:val="auto"/>
                <w:w w:val="96"/>
              </w:rPr>
              <w:t>Three Months</w:t>
            </w:r>
          </w:p>
        </w:tc>
        <w:tc>
          <w:tcPr>
            <w:tcW w:w="60" w:type="dxa"/>
            <w:vAlign w:val="bottom"/>
          </w:tcPr>
          <w:p>
            <w:pPr>
              <w:spacing w:after="0"/>
              <w:rPr>
                <w:sz w:val="15"/>
                <w:szCs w:val="15"/>
                <w:color w:val="auto"/>
              </w:rPr>
            </w:pPr>
          </w:p>
        </w:tc>
      </w:tr>
      <w:tr>
        <w:trPr>
          <w:trHeight w:val="177"/>
        </w:trPr>
        <w:tc>
          <w:tcPr>
            <w:tcW w:w="6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91"/>
              </w:rPr>
              <w:t>(in thousands)</w:t>
            </w:r>
          </w:p>
        </w:tc>
      </w:tr>
      <w:tr>
        <w:trPr>
          <w:trHeight w:val="186"/>
        </w:trPr>
        <w:tc>
          <w:tcPr>
            <w:tcW w:w="6800" w:type="dxa"/>
            <w:vAlign w:val="bottom"/>
            <w:shd w:val="clear" w:color="auto" w:fill="CFF0FC"/>
          </w:tcPr>
          <w:p>
            <w:pPr>
              <w:spacing w:after="0"/>
              <w:rPr>
                <w:sz w:val="20"/>
                <w:szCs w:val="20"/>
                <w:color w:val="auto"/>
              </w:rPr>
            </w:pPr>
            <w:r>
              <w:rPr>
                <w:rFonts w:ascii="Arial" w:cs="Arial" w:eastAsia="Arial" w:hAnsi="Arial"/>
                <w:sz w:val="15"/>
                <w:szCs w:val="15"/>
                <w:color w:val="auto"/>
              </w:rPr>
              <w:t>Employee-related costs</w:t>
            </w:r>
          </w:p>
        </w:tc>
        <w:tc>
          <w:tcPr>
            <w:tcW w:w="140" w:type="dxa"/>
            <w:vAlign w:val="bottom"/>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1,221</w:t>
            </w:r>
          </w:p>
        </w:tc>
        <w:tc>
          <w:tcPr>
            <w:tcW w:w="60" w:type="dxa"/>
            <w:vAlign w:val="bottom"/>
            <w:shd w:val="clear" w:color="auto" w:fill="CFF0FC"/>
          </w:tcPr>
          <w:p>
            <w:pPr>
              <w:spacing w:after="0"/>
              <w:rPr>
                <w:sz w:val="16"/>
                <w:szCs w:val="16"/>
                <w:color w:val="auto"/>
              </w:rPr>
            </w:pPr>
          </w:p>
        </w:tc>
      </w:tr>
      <w:tr>
        <w:trPr>
          <w:trHeight w:val="197"/>
        </w:trPr>
        <w:tc>
          <w:tcPr>
            <w:tcW w:w="680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Allocated overhead expenses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258</w:t>
            </w:r>
          </w:p>
        </w:tc>
        <w:tc>
          <w:tcPr>
            <w:tcW w:w="60" w:type="dxa"/>
            <w:vAlign w:val="bottom"/>
            <w:tcBorders>
              <w:bottom w:val="single" w:sz="8" w:color="CFF0FC"/>
            </w:tcBorders>
          </w:tcPr>
          <w:p>
            <w:pPr>
              <w:spacing w:after="0"/>
              <w:rPr>
                <w:sz w:val="17"/>
                <w:szCs w:val="17"/>
                <w:color w:val="auto"/>
              </w:rPr>
            </w:pPr>
          </w:p>
        </w:tc>
      </w:tr>
      <w:tr>
        <w:trPr>
          <w:trHeight w:val="188"/>
        </w:trPr>
        <w:tc>
          <w:tcPr>
            <w:tcW w:w="68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1,479</w:t>
            </w:r>
          </w:p>
        </w:tc>
        <w:tc>
          <w:tcPr>
            <w:tcW w:w="60" w:type="dxa"/>
            <w:vAlign w:val="bottom"/>
            <w:tcBorders>
              <w:bottom w:val="single" w:sz="8" w:color="CFF0FC"/>
            </w:tcBorders>
            <w:shd w:val="clear" w:color="auto" w:fill="CFF0FC"/>
          </w:tcPr>
          <w:p>
            <w:pPr>
              <w:spacing w:after="0"/>
              <w:rPr>
                <w:sz w:val="16"/>
                <w:szCs w:val="16"/>
                <w:color w:val="auto"/>
              </w:rPr>
            </w:pPr>
          </w:p>
        </w:tc>
      </w:tr>
      <w:tr>
        <w:trPr>
          <w:trHeight w:val="20"/>
        </w:trPr>
        <w:tc>
          <w:tcPr>
            <w:tcW w:w="6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0" w:lineRule="exact"/>
        <w:rPr>
          <w:sz w:val="20"/>
          <w:szCs w:val="20"/>
          <w:color w:val="auto"/>
        </w:rPr>
      </w:pPr>
    </w:p>
    <w:p>
      <w:pPr>
        <w:ind w:right="180" w:firstLine="520"/>
        <w:spacing w:after="0" w:line="263" w:lineRule="auto"/>
        <w:rPr>
          <w:sz w:val="20"/>
          <w:szCs w:val="20"/>
          <w:color w:val="auto"/>
        </w:rPr>
      </w:pPr>
      <w:r>
        <w:rPr>
          <w:rFonts w:ascii="Arial" w:cs="Arial" w:eastAsia="Arial" w:hAnsi="Arial"/>
          <w:sz w:val="15"/>
          <w:szCs w:val="15"/>
          <w:color w:val="auto"/>
        </w:rPr>
        <w:t>Employee-related costs increased as a result of increased headcount as we continue to grow our professional services organization to support our customer growth. Allocated overhead expenses increased due to expansion of our leased space and infrastructure as we continue to grow our business and expand headcount.</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1390"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20"/>
          </w:cols>
          <w:pgMar w:left="220" w:top="513" w:right="25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5"/>
          <w:szCs w:val="15"/>
          <w:b w:val="1"/>
          <w:bCs w:val="1"/>
          <w:i w:val="1"/>
          <w:iCs w:val="1"/>
          <w:color w:val="auto"/>
        </w:rPr>
        <w:t>Research and Development</w:t>
      </w:r>
    </w:p>
    <w:p>
      <w:pPr>
        <w:spacing w:after="0" w:line="165" w:lineRule="exact"/>
        <w:rPr>
          <w:sz w:val="20"/>
          <w:szCs w:val="20"/>
          <w:color w:val="auto"/>
        </w:rPr>
      </w:pPr>
    </w:p>
    <w:tbl>
      <w:tblPr>
        <w:tblLayout w:type="fixed"/>
        <w:tblInd w:w="580" w:type="dxa"/>
        <w:tblCellMar>
          <w:top w:w="0" w:type="dxa"/>
          <w:left w:w="0" w:type="dxa"/>
          <w:bottom w:w="0" w:type="dxa"/>
          <w:right w:w="0" w:type="dxa"/>
        </w:tblCellMar>
      </w:tblPr>
      <w:tr>
        <w:trPr>
          <w:trHeight w:val="138"/>
        </w:trPr>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4"/>
          </w:tcPr>
          <w:p>
            <w:pPr>
              <w:jc w:val="center"/>
              <w:ind w:left="396"/>
              <w:spacing w:after="0"/>
              <w:rPr>
                <w:sz w:val="20"/>
                <w:szCs w:val="20"/>
                <w:color w:val="auto"/>
              </w:rPr>
            </w:pPr>
            <w:r>
              <w:rPr>
                <w:rFonts w:ascii="Arial" w:cs="Arial" w:eastAsia="Arial" w:hAnsi="Arial"/>
                <w:sz w:val="12"/>
                <w:szCs w:val="12"/>
                <w:b w:val="1"/>
                <w:bCs w:val="1"/>
                <w:color w:val="auto"/>
                <w:w w:val="91"/>
              </w:rPr>
              <w:t>Three Months</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140" w:type="dxa"/>
            <w:vAlign w:val="bottom"/>
            <w:vMerge w:val="restart"/>
          </w:tcPr>
          <w:p>
            <w:pPr>
              <w:spacing w:after="0"/>
              <w:rPr>
                <w:sz w:val="20"/>
                <w:szCs w:val="20"/>
                <w:color w:val="auto"/>
              </w:rPr>
            </w:pPr>
            <w:r>
              <w:rPr>
                <w:rFonts w:ascii="Arial" w:cs="Arial" w:eastAsia="Arial" w:hAnsi="Arial"/>
                <w:sz w:val="12"/>
                <w:szCs w:val="12"/>
                <w:b w:val="1"/>
                <w:bCs w:val="1"/>
                <w:color w:val="auto"/>
              </w:rPr>
              <w:t>(dollars in thousands)</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4"/>
          </w:tcPr>
          <w:p>
            <w:pPr>
              <w:jc w:val="center"/>
              <w:ind w:left="376"/>
              <w:spacing w:after="0"/>
              <w:rPr>
                <w:sz w:val="20"/>
                <w:szCs w:val="20"/>
                <w:color w:val="auto"/>
              </w:rPr>
            </w:pPr>
            <w:r>
              <w:rPr>
                <w:rFonts w:ascii="Arial" w:cs="Arial" w:eastAsia="Arial" w:hAnsi="Arial"/>
                <w:sz w:val="12"/>
                <w:szCs w:val="12"/>
                <w:b w:val="1"/>
                <w:bCs w:val="1"/>
                <w:color w:val="auto"/>
                <w:w w:val="90"/>
              </w:rPr>
              <w:t>Ended March 31,</w:t>
            </w:r>
          </w:p>
        </w:tc>
        <w:tc>
          <w:tcPr>
            <w:tcW w:w="7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ind w:right="234"/>
              <w:spacing w:after="0"/>
              <w:rPr>
                <w:sz w:val="20"/>
                <w:szCs w:val="20"/>
                <w:color w:val="auto"/>
              </w:rPr>
            </w:pPr>
            <w:r>
              <w:rPr>
                <w:rFonts w:ascii="Arial" w:cs="Arial" w:eastAsia="Arial" w:hAnsi="Arial"/>
                <w:sz w:val="12"/>
                <w:szCs w:val="12"/>
                <w:b w:val="1"/>
                <w:bCs w:val="1"/>
                <w:color w:val="auto"/>
                <w:w w:val="99"/>
              </w:rPr>
              <w:t>$ Change</w:t>
            </w:r>
          </w:p>
        </w:tc>
        <w:tc>
          <w:tcPr>
            <w:tcW w:w="220" w:type="dxa"/>
            <w:vAlign w:val="bottom"/>
            <w:vMerge w:val="restart"/>
          </w:tcPr>
          <w:p>
            <w:pPr>
              <w:spacing w:after="0"/>
              <w:rPr>
                <w:sz w:val="12"/>
                <w:szCs w:val="12"/>
                <w:color w:val="auto"/>
              </w:rPr>
            </w:pPr>
          </w:p>
        </w:tc>
        <w:tc>
          <w:tcPr>
            <w:tcW w:w="10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 Change</w:t>
            </w:r>
          </w:p>
        </w:tc>
        <w:tc>
          <w:tcPr>
            <w:tcW w:w="1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514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CFF0FC"/>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56"/>
              <w:spacing w:after="0" w:line="123" w:lineRule="exact"/>
              <w:rPr>
                <w:sz w:val="20"/>
                <w:szCs w:val="20"/>
                <w:color w:val="auto"/>
              </w:rPr>
            </w:pPr>
            <w:r>
              <w:rPr>
                <w:rFonts w:ascii="Arial" w:cs="Arial" w:eastAsia="Arial" w:hAnsi="Arial"/>
                <w:sz w:val="12"/>
                <w:szCs w:val="12"/>
                <w:b w:val="1"/>
                <w:bCs w:val="1"/>
                <w:color w:val="auto"/>
              </w:rPr>
              <w:t>2018</w:t>
            </w:r>
          </w:p>
        </w:tc>
        <w:tc>
          <w:tcPr>
            <w:tcW w:w="180" w:type="dxa"/>
            <w:vAlign w:val="bottom"/>
            <w:tcBorders>
              <w:bottom w:val="single" w:sz="8" w:color="CFF0FC"/>
            </w:tcBorders>
          </w:tcPr>
          <w:p>
            <w:pPr>
              <w:spacing w:after="0"/>
              <w:rPr>
                <w:sz w:val="10"/>
                <w:szCs w:val="10"/>
                <w:color w:val="auto"/>
              </w:rPr>
            </w:pPr>
          </w:p>
        </w:tc>
        <w:tc>
          <w:tcPr>
            <w:tcW w:w="80" w:type="dxa"/>
            <w:vAlign w:val="bottom"/>
            <w:tcBorders>
              <w:bottom w:val="single" w:sz="8" w:color="CFF0FC"/>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352"/>
              <w:spacing w:after="0" w:line="123" w:lineRule="exact"/>
              <w:rPr>
                <w:sz w:val="20"/>
                <w:szCs w:val="20"/>
                <w:color w:val="auto"/>
              </w:rPr>
            </w:pPr>
            <w:r>
              <w:rPr>
                <w:rFonts w:ascii="Arial" w:cs="Arial" w:eastAsia="Arial" w:hAnsi="Arial"/>
                <w:sz w:val="12"/>
                <w:szCs w:val="12"/>
                <w:b w:val="1"/>
                <w:bCs w:val="1"/>
                <w:color w:val="auto"/>
                <w:w w:val="97"/>
              </w:rPr>
              <w:t>2017</w:t>
            </w:r>
          </w:p>
        </w:tc>
        <w:tc>
          <w:tcPr>
            <w:tcW w:w="180" w:type="dxa"/>
            <w:vAlign w:val="bottom"/>
            <w:tcBorders>
              <w:bottom w:val="single" w:sz="8" w:color="CFF0FC"/>
            </w:tcBorders>
          </w:tcPr>
          <w:p>
            <w:pPr>
              <w:spacing w:after="0"/>
              <w:rPr>
                <w:sz w:val="10"/>
                <w:szCs w:val="10"/>
                <w:color w:val="auto"/>
              </w:rPr>
            </w:pPr>
          </w:p>
        </w:tc>
        <w:tc>
          <w:tcPr>
            <w:tcW w:w="80" w:type="dxa"/>
            <w:vAlign w:val="bottom"/>
            <w:tcBorders>
              <w:bottom w:val="single" w:sz="8" w:color="CFF0FC"/>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220" w:type="dxa"/>
            <w:vAlign w:val="bottom"/>
            <w:tcBorders>
              <w:bottom w:val="single" w:sz="8" w:color="CFF0FC"/>
            </w:tcBorders>
            <w:vMerge w:val="continue"/>
          </w:tcPr>
          <w:p>
            <w:pPr>
              <w:spacing w:after="0"/>
              <w:rPr>
                <w:sz w:val="10"/>
                <w:szCs w:val="10"/>
                <w:color w:val="auto"/>
              </w:rPr>
            </w:pPr>
          </w:p>
        </w:tc>
        <w:tc>
          <w:tcPr>
            <w:tcW w:w="1040" w:type="dxa"/>
            <w:vAlign w:val="bottom"/>
            <w:tcBorders>
              <w:bottom w:val="single" w:sz="8" w:color="auto"/>
            </w:tcBorders>
            <w:vMerge w:val="continue"/>
          </w:tcPr>
          <w:p>
            <w:pPr>
              <w:spacing w:after="0"/>
              <w:rPr>
                <w:sz w:val="10"/>
                <w:szCs w:val="10"/>
                <w:color w:val="auto"/>
              </w:rPr>
            </w:pPr>
          </w:p>
        </w:tc>
        <w:tc>
          <w:tcPr>
            <w:tcW w:w="140" w:type="dxa"/>
            <w:vAlign w:val="bottom"/>
            <w:tcBorders>
              <w:bottom w:val="single" w:sz="8" w:color="CFF0F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5140" w:type="dxa"/>
            <w:vAlign w:val="bottom"/>
            <w:shd w:val="clear" w:color="auto" w:fill="CFF0FC"/>
          </w:tcPr>
          <w:p>
            <w:pPr>
              <w:spacing w:after="0"/>
              <w:rPr>
                <w:sz w:val="20"/>
                <w:szCs w:val="20"/>
                <w:color w:val="auto"/>
              </w:rPr>
            </w:pPr>
            <w:r>
              <w:rPr>
                <w:rFonts w:ascii="Arial" w:cs="Arial" w:eastAsia="Arial" w:hAnsi="Arial"/>
                <w:sz w:val="15"/>
                <w:szCs w:val="15"/>
                <w:color w:val="auto"/>
              </w:rPr>
              <w:t>Research and development</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26,352</w:t>
            </w:r>
          </w:p>
        </w:tc>
        <w:tc>
          <w:tcPr>
            <w:tcW w:w="18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13,370</w:t>
            </w:r>
          </w:p>
        </w:tc>
        <w:tc>
          <w:tcPr>
            <w:tcW w:w="18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12,982</w:t>
            </w:r>
          </w:p>
        </w:tc>
        <w:tc>
          <w:tcPr>
            <w:tcW w:w="2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97%</w:t>
            </w:r>
          </w:p>
        </w:tc>
        <w:tc>
          <w:tcPr>
            <w:tcW w:w="0" w:type="dxa"/>
            <w:vAlign w:val="bottom"/>
          </w:tcPr>
          <w:p>
            <w:pPr>
              <w:spacing w:after="0"/>
              <w:rPr>
                <w:sz w:val="1"/>
                <w:szCs w:val="1"/>
                <w:color w:val="auto"/>
              </w:rPr>
            </w:pPr>
          </w:p>
        </w:tc>
      </w:tr>
      <w:tr>
        <w:trPr>
          <w:trHeight w:val="187"/>
        </w:trPr>
        <w:tc>
          <w:tcPr>
            <w:tcW w:w="5140" w:type="dxa"/>
            <w:vAlign w:val="bottom"/>
          </w:tcPr>
          <w:p>
            <w:pPr>
              <w:spacing w:after="0"/>
              <w:rPr>
                <w:sz w:val="20"/>
                <w:szCs w:val="20"/>
                <w:color w:val="auto"/>
              </w:rPr>
            </w:pPr>
            <w:r>
              <w:rPr>
                <w:rFonts w:ascii="Arial" w:cs="Arial" w:eastAsia="Arial" w:hAnsi="Arial"/>
                <w:sz w:val="15"/>
                <w:szCs w:val="15"/>
                <w:color w:val="auto"/>
              </w:rPr>
              <w:t>Percentage of total revenue</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16%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increase in research and development expense for the three month period ended March 31, 2018 compared to the same period in 2017 was primarily due to the following:</w:t>
      </w:r>
    </w:p>
    <w:p>
      <w:pPr>
        <w:spacing w:after="0" w:line="194" w:lineRule="exact"/>
        <w:rPr>
          <w:sz w:val="20"/>
          <w:szCs w:val="20"/>
          <w:color w:val="auto"/>
        </w:rPr>
      </w:pPr>
    </w:p>
    <w:p>
      <w:pPr>
        <w:jc w:val="center"/>
        <w:ind w:left="6740"/>
        <w:spacing w:after="0"/>
        <w:rPr>
          <w:sz w:val="20"/>
          <w:szCs w:val="20"/>
          <w:color w:val="auto"/>
        </w:rPr>
      </w:pPr>
      <w:r>
        <w:rPr>
          <w:rFonts w:ascii="Arial" w:cs="Arial" w:eastAsia="Arial" w:hAnsi="Arial"/>
          <w:sz w:val="12"/>
          <w:szCs w:val="12"/>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5417185</wp:posOffset>
            </wp:positionH>
            <wp:positionV relativeFrom="paragraph">
              <wp:posOffset>0</wp:posOffset>
            </wp:positionV>
            <wp:extent cx="72453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535" cy="6985"/>
                    </a:xfrm>
                    <a:prstGeom prst="rect">
                      <a:avLst/>
                    </a:prstGeom>
                    <a:noFill/>
                  </pic:spPr>
                </pic:pic>
              </a:graphicData>
            </a:graphic>
          </wp:anchor>
        </w:drawing>
      </w:r>
    </w:p>
    <w:p>
      <w:pPr>
        <w:jc w:val="center"/>
        <w:ind w:left="6740"/>
        <w:spacing w:after="0"/>
        <w:rPr>
          <w:sz w:val="20"/>
          <w:szCs w:val="20"/>
          <w:color w:val="auto"/>
        </w:rPr>
      </w:pPr>
      <w:r>
        <w:rPr>
          <w:rFonts w:ascii="Arial" w:cs="Arial" w:eastAsia="Arial" w:hAnsi="Arial"/>
          <w:sz w:val="12"/>
          <w:szCs w:val="12"/>
          <w:b w:val="1"/>
          <w:bCs w:val="1"/>
          <w:color w:val="auto"/>
        </w:rPr>
        <w:t>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5417185</wp:posOffset>
            </wp:positionH>
            <wp:positionV relativeFrom="paragraph">
              <wp:posOffset>-3810</wp:posOffset>
            </wp:positionV>
            <wp:extent cx="72453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535" cy="6985"/>
                    </a:xfrm>
                    <a:prstGeom prst="rect">
                      <a:avLst/>
                    </a:prstGeom>
                    <a:noFill/>
                  </pic:spPr>
                </pic:pic>
              </a:graphicData>
            </a:graphic>
          </wp:anchor>
        </w:drawing>
      </w:r>
    </w:p>
    <w:p>
      <w:pPr>
        <w:jc w:val="center"/>
        <w:ind w:left="6740"/>
        <w:spacing w:after="0" w:line="235" w:lineRule="auto"/>
        <w:rPr>
          <w:sz w:val="20"/>
          <w:szCs w:val="20"/>
          <w:color w:val="auto"/>
        </w:rPr>
      </w:pPr>
      <w:r>
        <w:rPr>
          <w:rFonts w:ascii="Arial" w:cs="Arial" w:eastAsia="Arial" w:hAnsi="Arial"/>
          <w:sz w:val="12"/>
          <w:szCs w:val="12"/>
          <w:b w:val="1"/>
          <w:bCs w:val="1"/>
          <w:color w:val="auto"/>
        </w:rPr>
        <w:t>(in thousands)</w:t>
      </w:r>
    </w:p>
    <w:p>
      <w:pPr>
        <w:spacing w:after="0" w:line="14" w:lineRule="exact"/>
        <w:rPr>
          <w:sz w:val="20"/>
          <w:szCs w:val="20"/>
          <w:color w:val="auto"/>
        </w:rPr>
      </w:pPr>
    </w:p>
    <w:tbl>
      <w:tblPr>
        <w:tblLayout w:type="fixed"/>
        <w:tblInd w:w="1740" w:type="dxa"/>
        <w:tblCellMar>
          <w:top w:w="0" w:type="dxa"/>
          <w:left w:w="0" w:type="dxa"/>
          <w:bottom w:w="0" w:type="dxa"/>
          <w:right w:w="0" w:type="dxa"/>
        </w:tblCellMar>
      </w:tblPr>
      <w:tr>
        <w:trPr>
          <w:trHeight w:val="172"/>
        </w:trPr>
        <w:tc>
          <w:tcPr>
            <w:tcW w:w="6800" w:type="dxa"/>
            <w:vAlign w:val="bottom"/>
            <w:shd w:val="clear" w:color="auto" w:fill="CFF0FC"/>
          </w:tcPr>
          <w:p>
            <w:pPr>
              <w:spacing w:after="0"/>
              <w:rPr>
                <w:sz w:val="20"/>
                <w:szCs w:val="20"/>
                <w:color w:val="auto"/>
              </w:rPr>
            </w:pPr>
            <w:r>
              <w:rPr>
                <w:rFonts w:ascii="Arial" w:cs="Arial" w:eastAsia="Arial" w:hAnsi="Arial"/>
                <w:sz w:val="15"/>
                <w:szCs w:val="15"/>
                <w:color w:val="auto"/>
              </w:rPr>
              <w:t>Employee-related costs</w:t>
            </w:r>
          </w:p>
        </w:tc>
        <w:tc>
          <w:tcPr>
            <w:tcW w:w="400" w:type="dxa"/>
            <w:vAlign w:val="bottom"/>
            <w:shd w:val="clear" w:color="auto" w:fill="CFF0FC"/>
          </w:tcPr>
          <w:p>
            <w:pPr>
              <w:jc w:val="right"/>
              <w:ind w:right="288"/>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11,783</w:t>
            </w:r>
          </w:p>
        </w:tc>
        <w:tc>
          <w:tcPr>
            <w:tcW w:w="60" w:type="dxa"/>
            <w:vAlign w:val="bottom"/>
            <w:shd w:val="clear" w:color="auto" w:fill="CFF0FC"/>
          </w:tcPr>
          <w:p>
            <w:pPr>
              <w:spacing w:after="0"/>
              <w:rPr>
                <w:sz w:val="14"/>
                <w:szCs w:val="14"/>
                <w:color w:val="auto"/>
              </w:rPr>
            </w:pPr>
          </w:p>
        </w:tc>
      </w:tr>
      <w:tr>
        <w:trPr>
          <w:trHeight w:val="197"/>
        </w:trPr>
        <w:tc>
          <w:tcPr>
            <w:tcW w:w="680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Allocated overhead expenses</w:t>
            </w: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1,199</w:t>
            </w:r>
          </w:p>
        </w:tc>
        <w:tc>
          <w:tcPr>
            <w:tcW w:w="60" w:type="dxa"/>
            <w:vAlign w:val="bottom"/>
            <w:tcBorders>
              <w:bottom w:val="single" w:sz="8" w:color="CFF0FC"/>
            </w:tcBorders>
          </w:tcPr>
          <w:p>
            <w:pPr>
              <w:spacing w:after="0"/>
              <w:rPr>
                <w:sz w:val="17"/>
                <w:szCs w:val="17"/>
                <w:color w:val="auto"/>
              </w:rPr>
            </w:pPr>
          </w:p>
        </w:tc>
      </w:tr>
      <w:tr>
        <w:trPr>
          <w:trHeight w:val="188"/>
        </w:trPr>
        <w:tc>
          <w:tcPr>
            <w:tcW w:w="680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jc w:val="right"/>
              <w:ind w:right="288"/>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12,982</w:t>
            </w:r>
          </w:p>
        </w:tc>
        <w:tc>
          <w:tcPr>
            <w:tcW w:w="60" w:type="dxa"/>
            <w:vAlign w:val="bottom"/>
            <w:tcBorders>
              <w:bottom w:val="single" w:sz="8" w:color="CFF0FC"/>
            </w:tcBorders>
            <w:shd w:val="clear" w:color="auto" w:fill="CFF0FC"/>
          </w:tcPr>
          <w:p>
            <w:pPr>
              <w:spacing w:after="0"/>
              <w:rPr>
                <w:sz w:val="16"/>
                <w:szCs w:val="16"/>
                <w:color w:val="auto"/>
              </w:rPr>
            </w:pPr>
          </w:p>
        </w:tc>
      </w:tr>
      <w:tr>
        <w:trPr>
          <w:trHeight w:val="20"/>
        </w:trPr>
        <w:tc>
          <w:tcPr>
            <w:tcW w:w="6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0" w:lineRule="exact"/>
        <w:rPr>
          <w:sz w:val="20"/>
          <w:szCs w:val="20"/>
          <w:color w:val="auto"/>
        </w:rPr>
      </w:pPr>
    </w:p>
    <w:p>
      <w:pPr>
        <w:ind w:right="120" w:firstLine="520"/>
        <w:spacing w:after="0" w:line="340" w:lineRule="auto"/>
        <w:rPr>
          <w:sz w:val="20"/>
          <w:szCs w:val="20"/>
          <w:color w:val="auto"/>
        </w:rPr>
      </w:pPr>
      <w:r>
        <w:rPr>
          <w:rFonts w:ascii="Arial" w:cs="Arial" w:eastAsia="Arial" w:hAnsi="Arial"/>
          <w:sz w:val="13"/>
          <w:szCs w:val="13"/>
          <w:color w:val="auto"/>
        </w:rPr>
        <w:t>Employee-related costs increased as a result of increased headcount as we continue to grow our engineering organization to develop new products, increase functionality and to maintain our existing platform. Allocated overhead expense increased due to expanding our leased space and infrastructure as we continue to grow our business and expand headcount.</w:t>
      </w: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Sales and Marketing</w:t>
      </w:r>
    </w:p>
    <w:p>
      <w:pPr>
        <w:spacing w:after="0" w:line="165" w:lineRule="exact"/>
        <w:rPr>
          <w:sz w:val="20"/>
          <w:szCs w:val="20"/>
          <w:color w:val="auto"/>
        </w:rPr>
      </w:pPr>
    </w:p>
    <w:tbl>
      <w:tblPr>
        <w:tblLayout w:type="fixed"/>
        <w:tblInd w:w="580" w:type="dxa"/>
        <w:tblCellMar>
          <w:top w:w="0" w:type="dxa"/>
          <w:left w:w="0" w:type="dxa"/>
          <w:bottom w:w="0" w:type="dxa"/>
          <w:right w:w="0" w:type="dxa"/>
        </w:tblCellMar>
      </w:tblPr>
      <w:tr>
        <w:trPr>
          <w:trHeight w:val="13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4"/>
          </w:tcPr>
          <w:p>
            <w:pPr>
              <w:jc w:val="center"/>
              <w:ind w:left="416"/>
              <w:spacing w:after="0"/>
              <w:rPr>
                <w:sz w:val="20"/>
                <w:szCs w:val="20"/>
                <w:color w:val="auto"/>
              </w:rPr>
            </w:pPr>
            <w:r>
              <w:rPr>
                <w:rFonts w:ascii="Arial" w:cs="Arial" w:eastAsia="Arial" w:hAnsi="Arial"/>
                <w:sz w:val="12"/>
                <w:szCs w:val="12"/>
                <w:b w:val="1"/>
                <w:bCs w:val="1"/>
                <w:color w:val="auto"/>
                <w:w w:val="88"/>
              </w:rPr>
              <w:t>Three Months</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180" w:type="dxa"/>
            <w:vAlign w:val="bottom"/>
            <w:vMerge w:val="restart"/>
          </w:tcPr>
          <w:p>
            <w:pPr>
              <w:spacing w:after="0"/>
              <w:rPr>
                <w:sz w:val="20"/>
                <w:szCs w:val="20"/>
                <w:color w:val="auto"/>
              </w:rPr>
            </w:pPr>
            <w:r>
              <w:rPr>
                <w:rFonts w:ascii="Arial" w:cs="Arial" w:eastAsia="Arial" w:hAnsi="Arial"/>
                <w:sz w:val="12"/>
                <w:szCs w:val="12"/>
                <w:b w:val="1"/>
                <w:bCs w:val="1"/>
                <w:color w:val="auto"/>
              </w:rPr>
              <w:t>(dollars in thousands)</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4"/>
          </w:tcPr>
          <w:p>
            <w:pPr>
              <w:jc w:val="center"/>
              <w:ind w:left="416"/>
              <w:spacing w:after="0"/>
              <w:rPr>
                <w:sz w:val="20"/>
                <w:szCs w:val="20"/>
                <w:color w:val="auto"/>
              </w:rPr>
            </w:pPr>
            <w:r>
              <w:rPr>
                <w:rFonts w:ascii="Arial" w:cs="Arial" w:eastAsia="Arial" w:hAnsi="Arial"/>
                <w:sz w:val="12"/>
                <w:szCs w:val="12"/>
                <w:b w:val="1"/>
                <w:bCs w:val="1"/>
                <w:color w:val="auto"/>
                <w:w w:val="90"/>
              </w:rPr>
              <w:t>Ended March 31,</w:t>
            </w:r>
          </w:p>
        </w:tc>
        <w:tc>
          <w:tcPr>
            <w:tcW w:w="7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ind w:right="234"/>
              <w:spacing w:after="0"/>
              <w:rPr>
                <w:sz w:val="20"/>
                <w:szCs w:val="20"/>
                <w:color w:val="auto"/>
              </w:rPr>
            </w:pPr>
            <w:r>
              <w:rPr>
                <w:rFonts w:ascii="Arial" w:cs="Arial" w:eastAsia="Arial" w:hAnsi="Arial"/>
                <w:sz w:val="12"/>
                <w:szCs w:val="12"/>
                <w:b w:val="1"/>
                <w:bCs w:val="1"/>
                <w:color w:val="auto"/>
                <w:w w:val="99"/>
              </w:rPr>
              <w:t>$ Change</w:t>
            </w:r>
          </w:p>
        </w:tc>
        <w:tc>
          <w:tcPr>
            <w:tcW w:w="140" w:type="dxa"/>
            <w:vAlign w:val="bottom"/>
            <w:vMerge w:val="restart"/>
          </w:tcPr>
          <w:p>
            <w:pPr>
              <w:spacing w:after="0"/>
              <w:rPr>
                <w:sz w:val="12"/>
                <w:szCs w:val="12"/>
                <w:color w:val="auto"/>
              </w:rPr>
            </w:pPr>
          </w:p>
        </w:tc>
        <w:tc>
          <w:tcPr>
            <w:tcW w:w="9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 Change</w:t>
            </w:r>
          </w:p>
        </w:tc>
        <w:tc>
          <w:tcPr>
            <w:tcW w:w="1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518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FF0FC"/>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56"/>
              <w:spacing w:after="0" w:line="123" w:lineRule="exact"/>
              <w:rPr>
                <w:sz w:val="20"/>
                <w:szCs w:val="20"/>
                <w:color w:val="auto"/>
              </w:rPr>
            </w:pPr>
            <w:r>
              <w:rPr>
                <w:rFonts w:ascii="Arial" w:cs="Arial" w:eastAsia="Arial" w:hAnsi="Arial"/>
                <w:sz w:val="12"/>
                <w:szCs w:val="12"/>
                <w:b w:val="1"/>
                <w:bCs w:val="1"/>
                <w:color w:val="auto"/>
              </w:rPr>
              <w:t>2018</w:t>
            </w:r>
          </w:p>
        </w:tc>
        <w:tc>
          <w:tcPr>
            <w:tcW w:w="220" w:type="dxa"/>
            <w:vAlign w:val="bottom"/>
            <w:tcBorders>
              <w:bottom w:val="single" w:sz="8" w:color="CFF0FC"/>
            </w:tcBorders>
          </w:tcPr>
          <w:p>
            <w:pPr>
              <w:spacing w:after="0"/>
              <w:rPr>
                <w:sz w:val="10"/>
                <w:szCs w:val="10"/>
                <w:color w:val="auto"/>
              </w:rPr>
            </w:pPr>
          </w:p>
        </w:tc>
        <w:tc>
          <w:tcPr>
            <w:tcW w:w="80" w:type="dxa"/>
            <w:vAlign w:val="bottom"/>
            <w:tcBorders>
              <w:bottom w:val="single" w:sz="8" w:color="CFF0FC"/>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352"/>
              <w:spacing w:after="0" w:line="123" w:lineRule="exact"/>
              <w:rPr>
                <w:sz w:val="20"/>
                <w:szCs w:val="20"/>
                <w:color w:val="auto"/>
              </w:rPr>
            </w:pPr>
            <w:r>
              <w:rPr>
                <w:rFonts w:ascii="Arial" w:cs="Arial" w:eastAsia="Arial" w:hAnsi="Arial"/>
                <w:sz w:val="12"/>
                <w:szCs w:val="12"/>
                <w:b w:val="1"/>
                <w:bCs w:val="1"/>
                <w:color w:val="auto"/>
              </w:rPr>
              <w:t>2017</w:t>
            </w:r>
          </w:p>
        </w:tc>
        <w:tc>
          <w:tcPr>
            <w:tcW w:w="200" w:type="dxa"/>
            <w:vAlign w:val="bottom"/>
            <w:tcBorders>
              <w:bottom w:val="single" w:sz="8" w:color="CFF0FC"/>
            </w:tcBorders>
          </w:tcPr>
          <w:p>
            <w:pPr>
              <w:spacing w:after="0"/>
              <w:rPr>
                <w:sz w:val="10"/>
                <w:szCs w:val="10"/>
                <w:color w:val="auto"/>
              </w:rPr>
            </w:pPr>
          </w:p>
        </w:tc>
        <w:tc>
          <w:tcPr>
            <w:tcW w:w="80" w:type="dxa"/>
            <w:vAlign w:val="bottom"/>
            <w:tcBorders>
              <w:bottom w:val="single" w:sz="8" w:color="CFF0FC"/>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140" w:type="dxa"/>
            <w:vAlign w:val="bottom"/>
            <w:tcBorders>
              <w:bottom w:val="single" w:sz="8" w:color="CFF0FC"/>
            </w:tcBorders>
            <w:vMerge w:val="continue"/>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180" w:type="dxa"/>
            <w:vAlign w:val="bottom"/>
            <w:tcBorders>
              <w:bottom w:val="single" w:sz="8" w:color="CFF0F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5180" w:type="dxa"/>
            <w:vAlign w:val="bottom"/>
            <w:shd w:val="clear" w:color="auto" w:fill="CFF0FC"/>
          </w:tcPr>
          <w:p>
            <w:pPr>
              <w:spacing w:after="0"/>
              <w:rPr>
                <w:sz w:val="20"/>
                <w:szCs w:val="20"/>
                <w:color w:val="auto"/>
              </w:rPr>
            </w:pPr>
            <w:r>
              <w:rPr>
                <w:rFonts w:ascii="Arial" w:cs="Arial" w:eastAsia="Arial" w:hAnsi="Arial"/>
                <w:sz w:val="15"/>
                <w:szCs w:val="15"/>
                <w:color w:val="auto"/>
              </w:rPr>
              <w:t>Sales and marketing</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59,910</w:t>
            </w:r>
          </w:p>
        </w:tc>
        <w:tc>
          <w:tcPr>
            <w:tcW w:w="22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46,672</w:t>
            </w:r>
          </w:p>
        </w:tc>
        <w:tc>
          <w:tcPr>
            <w:tcW w:w="20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13,238</w:t>
            </w:r>
          </w:p>
        </w:tc>
        <w:tc>
          <w:tcPr>
            <w:tcW w:w="1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187"/>
        </w:trPr>
        <w:tc>
          <w:tcPr>
            <w:tcW w:w="5180" w:type="dxa"/>
            <w:vAlign w:val="bottom"/>
          </w:tcPr>
          <w:p>
            <w:pPr>
              <w:spacing w:after="0"/>
              <w:rPr>
                <w:sz w:val="20"/>
                <w:szCs w:val="20"/>
                <w:color w:val="auto"/>
              </w:rPr>
            </w:pPr>
            <w:r>
              <w:rPr>
                <w:rFonts w:ascii="Arial" w:cs="Arial" w:eastAsia="Arial" w:hAnsi="Arial"/>
                <w:sz w:val="15"/>
                <w:szCs w:val="15"/>
                <w:color w:val="auto"/>
              </w:rPr>
              <w:t>Percentage of total revenue</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5"/>
                <w:szCs w:val="15"/>
                <w:color w:val="auto"/>
              </w:rPr>
              <w:t>52%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57%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increase in sales and marketing expense for the three month period ended March 31, 2018 compared to the same period in 2017 was primarily due to the following:</w:t>
      </w:r>
    </w:p>
    <w:p>
      <w:pPr>
        <w:spacing w:after="0" w:line="194" w:lineRule="exact"/>
        <w:rPr>
          <w:sz w:val="20"/>
          <w:szCs w:val="20"/>
          <w:color w:val="auto"/>
        </w:rPr>
      </w:pPr>
    </w:p>
    <w:tbl>
      <w:tblPr>
        <w:tblLayout w:type="fixed"/>
        <w:tblInd w:w="1740" w:type="dxa"/>
        <w:tblCellMar>
          <w:top w:w="0" w:type="dxa"/>
          <w:left w:w="0" w:type="dxa"/>
          <w:bottom w:w="0" w:type="dxa"/>
          <w:right w:w="0" w:type="dxa"/>
        </w:tblCellMar>
      </w:tblPr>
      <w:tr>
        <w:trPr>
          <w:trHeight w:val="138"/>
        </w:trPr>
        <w:tc>
          <w:tcPr>
            <w:tcW w:w="6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ind w:left="220"/>
              <w:spacing w:after="0"/>
              <w:rPr>
                <w:sz w:val="20"/>
                <w:szCs w:val="20"/>
                <w:color w:val="auto"/>
              </w:rPr>
            </w:pPr>
            <w:r>
              <w:rPr>
                <w:rFonts w:ascii="Arial" w:cs="Arial" w:eastAsia="Arial" w:hAnsi="Arial"/>
                <w:sz w:val="12"/>
                <w:szCs w:val="12"/>
                <w:b w:val="1"/>
                <w:bCs w:val="1"/>
                <w:color w:val="auto"/>
              </w:rPr>
              <w:t>Change</w:t>
            </w:r>
          </w:p>
        </w:tc>
      </w:tr>
      <w:tr>
        <w:trPr>
          <w:trHeight w:val="123"/>
        </w:trPr>
        <w:tc>
          <w:tcPr>
            <w:tcW w:w="66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1000" w:type="dxa"/>
            <w:vAlign w:val="bottom"/>
            <w:tcBorders>
              <w:top w:val="single" w:sz="8" w:color="auto"/>
              <w:bottom w:val="single" w:sz="8" w:color="auto"/>
            </w:tcBorders>
          </w:tcPr>
          <w:p>
            <w:pPr>
              <w:jc w:val="right"/>
              <w:ind w:right="152"/>
              <w:spacing w:after="0" w:line="123" w:lineRule="exact"/>
              <w:rPr>
                <w:sz w:val="20"/>
                <w:szCs w:val="20"/>
                <w:color w:val="auto"/>
              </w:rPr>
            </w:pPr>
            <w:r>
              <w:rPr>
                <w:rFonts w:ascii="Arial" w:cs="Arial" w:eastAsia="Arial" w:hAnsi="Arial"/>
                <w:sz w:val="12"/>
                <w:szCs w:val="12"/>
                <w:b w:val="1"/>
                <w:bCs w:val="1"/>
                <w:color w:val="auto"/>
                <w:w w:val="96"/>
              </w:rPr>
              <w:t>Three Months</w:t>
            </w:r>
          </w:p>
        </w:tc>
        <w:tc>
          <w:tcPr>
            <w:tcW w:w="60" w:type="dxa"/>
            <w:vAlign w:val="bottom"/>
          </w:tcPr>
          <w:p>
            <w:pPr>
              <w:spacing w:after="0"/>
              <w:rPr>
                <w:sz w:val="10"/>
                <w:szCs w:val="10"/>
                <w:color w:val="auto"/>
              </w:rPr>
            </w:pPr>
          </w:p>
        </w:tc>
      </w:tr>
      <w:tr>
        <w:trPr>
          <w:trHeight w:val="123"/>
        </w:trPr>
        <w:tc>
          <w:tcPr>
            <w:tcW w:w="6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right"/>
              <w:ind w:right="152"/>
              <w:spacing w:after="0" w:line="123" w:lineRule="exact"/>
              <w:rPr>
                <w:sz w:val="20"/>
                <w:szCs w:val="20"/>
                <w:color w:val="auto"/>
              </w:rPr>
            </w:pPr>
            <w:r>
              <w:rPr>
                <w:rFonts w:ascii="Arial" w:cs="Arial" w:eastAsia="Arial" w:hAnsi="Arial"/>
                <w:sz w:val="12"/>
                <w:szCs w:val="12"/>
                <w:b w:val="1"/>
                <w:bCs w:val="1"/>
                <w:color w:val="auto"/>
                <w:w w:val="91"/>
              </w:rPr>
              <w:t>(in thousands)</w:t>
            </w:r>
          </w:p>
        </w:tc>
        <w:tc>
          <w:tcPr>
            <w:tcW w:w="60" w:type="dxa"/>
            <w:vAlign w:val="bottom"/>
          </w:tcPr>
          <w:p>
            <w:pPr>
              <w:spacing w:after="0"/>
              <w:rPr>
                <w:sz w:val="10"/>
                <w:szCs w:val="10"/>
                <w:color w:val="auto"/>
              </w:rPr>
            </w:pPr>
          </w:p>
        </w:tc>
      </w:tr>
      <w:tr>
        <w:trPr>
          <w:trHeight w:val="186"/>
        </w:trPr>
        <w:tc>
          <w:tcPr>
            <w:tcW w:w="680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Employee-related costs</w:t>
            </w:r>
          </w:p>
        </w:tc>
        <w:tc>
          <w:tcPr>
            <w:tcW w:w="140" w:type="dxa"/>
            <w:vAlign w:val="bottom"/>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8,565</w:t>
            </w:r>
          </w:p>
        </w:tc>
        <w:tc>
          <w:tcPr>
            <w:tcW w:w="60" w:type="dxa"/>
            <w:vAlign w:val="bottom"/>
            <w:shd w:val="clear" w:color="auto" w:fill="CFF0FC"/>
          </w:tcPr>
          <w:p>
            <w:pPr>
              <w:spacing w:after="0"/>
              <w:rPr>
                <w:sz w:val="16"/>
                <w:szCs w:val="16"/>
                <w:color w:val="auto"/>
              </w:rPr>
            </w:pPr>
          </w:p>
        </w:tc>
      </w:tr>
      <w:tr>
        <w:trPr>
          <w:trHeight w:val="186"/>
        </w:trPr>
        <w:tc>
          <w:tcPr>
            <w:tcW w:w="6800" w:type="dxa"/>
            <w:vAlign w:val="bottom"/>
            <w:gridSpan w:val="2"/>
          </w:tcPr>
          <w:p>
            <w:pPr>
              <w:spacing w:after="0"/>
              <w:rPr>
                <w:sz w:val="20"/>
                <w:szCs w:val="20"/>
                <w:color w:val="auto"/>
              </w:rPr>
            </w:pPr>
            <w:r>
              <w:rPr>
                <w:rFonts w:ascii="Arial" w:cs="Arial" w:eastAsia="Arial" w:hAnsi="Arial"/>
                <w:sz w:val="15"/>
                <w:szCs w:val="15"/>
                <w:color w:val="auto"/>
              </w:rPr>
              <w:t>Partner commissions</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2,484</w:t>
            </w:r>
          </w:p>
        </w:tc>
        <w:tc>
          <w:tcPr>
            <w:tcW w:w="60" w:type="dxa"/>
            <w:vAlign w:val="bottom"/>
          </w:tcPr>
          <w:p>
            <w:pPr>
              <w:spacing w:after="0"/>
              <w:rPr>
                <w:sz w:val="16"/>
                <w:szCs w:val="16"/>
                <w:color w:val="auto"/>
              </w:rPr>
            </w:pPr>
          </w:p>
        </w:tc>
      </w:tr>
      <w:tr>
        <w:trPr>
          <w:trHeight w:val="186"/>
        </w:trPr>
        <w:tc>
          <w:tcPr>
            <w:tcW w:w="680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Marketing programs</w:t>
            </w: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1,165</w:t>
            </w:r>
          </w:p>
        </w:tc>
        <w:tc>
          <w:tcPr>
            <w:tcW w:w="60" w:type="dxa"/>
            <w:vAlign w:val="bottom"/>
            <w:shd w:val="clear" w:color="auto" w:fill="CFF0FC"/>
          </w:tcPr>
          <w:p>
            <w:pPr>
              <w:spacing w:after="0"/>
              <w:rPr>
                <w:sz w:val="16"/>
                <w:szCs w:val="16"/>
                <w:color w:val="auto"/>
              </w:rPr>
            </w:pPr>
          </w:p>
        </w:tc>
      </w:tr>
      <w:tr>
        <w:trPr>
          <w:trHeight w:val="186"/>
        </w:trPr>
        <w:tc>
          <w:tcPr>
            <w:tcW w:w="6800" w:type="dxa"/>
            <w:vAlign w:val="bottom"/>
            <w:tcBorders>
              <w:bottom w:val="single" w:sz="8" w:color="CFF0FC"/>
            </w:tcBorders>
            <w:gridSpan w:val="2"/>
          </w:tcPr>
          <w:p>
            <w:pPr>
              <w:spacing w:after="0"/>
              <w:rPr>
                <w:sz w:val="20"/>
                <w:szCs w:val="20"/>
                <w:color w:val="auto"/>
              </w:rPr>
            </w:pPr>
            <w:r>
              <w:rPr>
                <w:rFonts w:ascii="Arial" w:cs="Arial" w:eastAsia="Arial" w:hAnsi="Arial"/>
                <w:sz w:val="15"/>
                <w:szCs w:val="15"/>
                <w:color w:val="auto"/>
              </w:rPr>
              <w:t>Allocated overhead expenses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1,024</w:t>
            </w:r>
          </w:p>
        </w:tc>
        <w:tc>
          <w:tcPr>
            <w:tcW w:w="60" w:type="dxa"/>
            <w:vAlign w:val="bottom"/>
            <w:tcBorders>
              <w:bottom w:val="single" w:sz="8" w:color="CFF0FC"/>
            </w:tcBorders>
          </w:tcPr>
          <w:p>
            <w:pPr>
              <w:spacing w:after="0"/>
              <w:rPr>
                <w:sz w:val="16"/>
                <w:szCs w:val="16"/>
                <w:color w:val="auto"/>
              </w:rPr>
            </w:pPr>
          </w:p>
        </w:tc>
      </w:tr>
      <w:tr>
        <w:trPr>
          <w:trHeight w:val="177"/>
        </w:trPr>
        <w:tc>
          <w:tcPr>
            <w:tcW w:w="66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13,238</w:t>
            </w:r>
          </w:p>
        </w:tc>
        <w:tc>
          <w:tcPr>
            <w:tcW w:w="60" w:type="dxa"/>
            <w:vAlign w:val="bottom"/>
            <w:tcBorders>
              <w:bottom w:val="single" w:sz="8" w:color="CFF0FC"/>
            </w:tcBorders>
            <w:shd w:val="clear" w:color="auto" w:fill="CFF0FC"/>
          </w:tcPr>
          <w:p>
            <w:pPr>
              <w:spacing w:after="0"/>
              <w:rPr>
                <w:sz w:val="15"/>
                <w:szCs w:val="15"/>
                <w:color w:val="auto"/>
              </w:rPr>
            </w:pPr>
          </w:p>
        </w:tc>
      </w:tr>
      <w:tr>
        <w:trPr>
          <w:trHeight w:val="20"/>
        </w:trPr>
        <w:tc>
          <w:tcPr>
            <w:tcW w:w="6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0" w:lineRule="exact"/>
        <w:rPr>
          <w:sz w:val="20"/>
          <w:szCs w:val="20"/>
          <w:color w:val="auto"/>
        </w:rPr>
      </w:pPr>
    </w:p>
    <w:p>
      <w:pPr>
        <w:ind w:right="40" w:firstLine="520"/>
        <w:spacing w:after="0" w:line="274" w:lineRule="auto"/>
        <w:rPr>
          <w:sz w:val="20"/>
          <w:szCs w:val="20"/>
          <w:color w:val="auto"/>
        </w:rPr>
      </w:pPr>
      <w:r>
        <w:rPr>
          <w:rFonts w:ascii="Arial" w:cs="Arial" w:eastAsia="Arial" w:hAnsi="Arial"/>
          <w:sz w:val="14"/>
          <w:szCs w:val="14"/>
          <w:color w:val="auto"/>
        </w:rPr>
        <w:t>Employee-related costs increased as a result of increased headcount as we continue to expand our selling and marketing organizations to grow our customer base. The increase in employee-related costs was partially offset by lower sales commissions due to the adoption of new guidance related to revenue recognition (Note 2). Partner commissions increased as a result of increased revenue generated through our Partners. Marketing programs increased due to the timing of certain marketing efforts compared to prior year. Allocated overhead expenses increased due to expanding our leased space and infrastructure as we continue to grow our business and expand headcount.</w:t>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General and Administrative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4"/>
          </w:tcPr>
          <w:p>
            <w:pPr>
              <w:jc w:val="center"/>
              <w:ind w:left="396"/>
              <w:spacing w:after="0"/>
              <w:rPr>
                <w:sz w:val="20"/>
                <w:szCs w:val="20"/>
                <w:color w:val="auto"/>
              </w:rPr>
            </w:pPr>
            <w:r>
              <w:rPr>
                <w:rFonts w:ascii="Arial" w:cs="Arial" w:eastAsia="Arial" w:hAnsi="Arial"/>
                <w:sz w:val="12"/>
                <w:szCs w:val="12"/>
                <w:b w:val="1"/>
                <w:bCs w:val="1"/>
                <w:color w:val="auto"/>
                <w:w w:val="91"/>
              </w:rPr>
              <w:t>Three Months</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38"/>
        </w:trPr>
        <w:tc>
          <w:tcPr>
            <w:tcW w:w="5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4"/>
          </w:tcPr>
          <w:p>
            <w:pPr>
              <w:jc w:val="center"/>
              <w:ind w:left="376"/>
              <w:spacing w:after="0"/>
              <w:rPr>
                <w:sz w:val="20"/>
                <w:szCs w:val="20"/>
                <w:color w:val="auto"/>
              </w:rPr>
            </w:pPr>
            <w:r>
              <w:rPr>
                <w:rFonts w:ascii="Arial" w:cs="Arial" w:eastAsia="Arial" w:hAnsi="Arial"/>
                <w:sz w:val="12"/>
                <w:szCs w:val="12"/>
                <w:b w:val="1"/>
                <w:bCs w:val="1"/>
                <w:color w:val="auto"/>
                <w:w w:val="90"/>
              </w:rPr>
              <w:t>Ended March 31,</w:t>
            </w:r>
          </w:p>
        </w:tc>
        <w:tc>
          <w:tcPr>
            <w:tcW w:w="7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34"/>
        </w:trPr>
        <w:tc>
          <w:tcPr>
            <w:tcW w:w="580" w:type="dxa"/>
            <w:vAlign w:val="bottom"/>
          </w:tcPr>
          <w:p>
            <w:pPr>
              <w:spacing w:after="0"/>
              <w:rPr>
                <w:sz w:val="11"/>
                <w:szCs w:val="11"/>
                <w:color w:val="auto"/>
              </w:rPr>
            </w:pPr>
          </w:p>
        </w:tc>
        <w:tc>
          <w:tcPr>
            <w:tcW w:w="3340" w:type="dxa"/>
            <w:vAlign w:val="bottom"/>
            <w:tcBorders>
              <w:bottom w:val="single" w:sz="8" w:color="auto"/>
            </w:tcBorders>
          </w:tcPr>
          <w:p>
            <w:pPr>
              <w:spacing w:after="0" w:line="134" w:lineRule="exact"/>
              <w:rPr>
                <w:sz w:val="20"/>
                <w:szCs w:val="20"/>
                <w:color w:val="auto"/>
              </w:rPr>
            </w:pPr>
            <w:r>
              <w:rPr>
                <w:rFonts w:ascii="Arial" w:cs="Arial" w:eastAsia="Arial" w:hAnsi="Arial"/>
                <w:sz w:val="12"/>
                <w:szCs w:val="12"/>
                <w:b w:val="1"/>
                <w:bCs w:val="1"/>
                <w:color w:val="auto"/>
              </w:rPr>
              <w:t>(dollars in thousands)</w:t>
            </w:r>
          </w:p>
        </w:tc>
        <w:tc>
          <w:tcPr>
            <w:tcW w:w="1800" w:type="dxa"/>
            <w:vAlign w:val="bottom"/>
            <w:tcBorders>
              <w:bottom w:val="single" w:sz="8" w:color="auto"/>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56"/>
              <w:spacing w:after="0" w:line="134" w:lineRule="exact"/>
              <w:rPr>
                <w:sz w:val="20"/>
                <w:szCs w:val="20"/>
                <w:color w:val="auto"/>
              </w:rPr>
            </w:pPr>
            <w:r>
              <w:rPr>
                <w:rFonts w:ascii="Arial" w:cs="Arial" w:eastAsia="Arial" w:hAnsi="Arial"/>
                <w:sz w:val="12"/>
                <w:szCs w:val="12"/>
                <w:b w:val="1"/>
                <w:bCs w:val="1"/>
                <w:color w:val="auto"/>
              </w:rPr>
              <w:t>2018</w:t>
            </w:r>
          </w:p>
        </w:tc>
        <w:tc>
          <w:tcPr>
            <w:tcW w:w="18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52"/>
              <w:spacing w:after="0" w:line="134" w:lineRule="exact"/>
              <w:rPr>
                <w:sz w:val="20"/>
                <w:szCs w:val="20"/>
                <w:color w:val="auto"/>
              </w:rPr>
            </w:pPr>
            <w:r>
              <w:rPr>
                <w:rFonts w:ascii="Arial" w:cs="Arial" w:eastAsia="Arial" w:hAnsi="Arial"/>
                <w:sz w:val="12"/>
                <w:szCs w:val="12"/>
                <w:b w:val="1"/>
                <w:bCs w:val="1"/>
                <w:color w:val="auto"/>
                <w:w w:val="97"/>
              </w:rPr>
              <w:t>2017</w:t>
            </w:r>
          </w:p>
        </w:tc>
        <w:tc>
          <w:tcPr>
            <w:tcW w:w="18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34"/>
              <w:spacing w:after="0" w:line="134" w:lineRule="exact"/>
              <w:rPr>
                <w:sz w:val="20"/>
                <w:szCs w:val="20"/>
                <w:color w:val="auto"/>
              </w:rPr>
            </w:pPr>
            <w:r>
              <w:rPr>
                <w:rFonts w:ascii="Arial" w:cs="Arial" w:eastAsia="Arial" w:hAnsi="Arial"/>
                <w:sz w:val="12"/>
                <w:szCs w:val="12"/>
                <w:b w:val="1"/>
                <w:bCs w:val="1"/>
                <w:color w:val="auto"/>
                <w:w w:val="99"/>
              </w:rPr>
              <w:t>$ Change</w:t>
            </w:r>
          </w:p>
        </w:tc>
        <w:tc>
          <w:tcPr>
            <w:tcW w:w="220" w:type="dxa"/>
            <w:vAlign w:val="bottom"/>
            <w:tcBorders>
              <w:bottom w:val="single" w:sz="8" w:color="CFF0FC"/>
            </w:tcBorders>
          </w:tcPr>
          <w:p>
            <w:pPr>
              <w:spacing w:after="0"/>
              <w:rPr>
                <w:sz w:val="11"/>
                <w:szCs w:val="11"/>
                <w:color w:val="auto"/>
              </w:rPr>
            </w:pPr>
          </w:p>
        </w:tc>
        <w:tc>
          <w:tcPr>
            <w:tcW w:w="1040" w:type="dxa"/>
            <w:vAlign w:val="bottom"/>
            <w:tcBorders>
              <w:bottom w:val="single" w:sz="8" w:color="auto"/>
            </w:tcBorders>
          </w:tcPr>
          <w:p>
            <w:pPr>
              <w:ind w:left="260"/>
              <w:spacing w:after="0" w:line="134" w:lineRule="exact"/>
              <w:rPr>
                <w:sz w:val="20"/>
                <w:szCs w:val="20"/>
                <w:color w:val="auto"/>
              </w:rPr>
            </w:pPr>
            <w:r>
              <w:rPr>
                <w:rFonts w:ascii="Arial" w:cs="Arial" w:eastAsia="Arial" w:hAnsi="Arial"/>
                <w:sz w:val="12"/>
                <w:szCs w:val="12"/>
                <w:b w:val="1"/>
                <w:bCs w:val="1"/>
                <w:color w:val="auto"/>
              </w:rPr>
              <w:t>% Change</w:t>
            </w:r>
          </w:p>
        </w:tc>
        <w:tc>
          <w:tcPr>
            <w:tcW w:w="140" w:type="dxa"/>
            <w:vAlign w:val="bottom"/>
            <w:tcBorders>
              <w:bottom w:val="single" w:sz="8" w:color="CFF0FC"/>
            </w:tcBorders>
          </w:tcPr>
          <w:p>
            <w:pPr>
              <w:spacing w:after="0"/>
              <w:rPr>
                <w:sz w:val="11"/>
                <w:szCs w:val="11"/>
                <w:color w:val="auto"/>
              </w:rPr>
            </w:pPr>
          </w:p>
        </w:tc>
        <w:tc>
          <w:tcPr>
            <w:tcW w:w="600" w:type="dxa"/>
            <w:vAlign w:val="bottom"/>
          </w:tcPr>
          <w:p>
            <w:pPr>
              <w:spacing w:after="0"/>
              <w:rPr>
                <w:sz w:val="11"/>
                <w:szCs w:val="11"/>
                <w:color w:val="auto"/>
              </w:rPr>
            </w:pPr>
          </w:p>
        </w:tc>
      </w:tr>
      <w:tr>
        <w:trPr>
          <w:trHeight w:val="177"/>
        </w:trPr>
        <w:tc>
          <w:tcPr>
            <w:tcW w:w="580" w:type="dxa"/>
            <w:vAlign w:val="bottom"/>
          </w:tcPr>
          <w:p>
            <w:pPr>
              <w:spacing w:after="0"/>
              <w:rPr>
                <w:sz w:val="15"/>
                <w:szCs w:val="15"/>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5"/>
                <w:szCs w:val="15"/>
                <w:color w:val="auto"/>
              </w:rPr>
              <w:t>General and administrative</w:t>
            </w:r>
          </w:p>
        </w:tc>
        <w:tc>
          <w:tcPr>
            <w:tcW w:w="2140" w:type="dxa"/>
            <w:vAlign w:val="bottom"/>
            <w:gridSpan w:val="3"/>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17,241</w:t>
            </w:r>
          </w:p>
        </w:tc>
        <w:tc>
          <w:tcPr>
            <w:tcW w:w="18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13,138</w:t>
            </w:r>
          </w:p>
        </w:tc>
        <w:tc>
          <w:tcPr>
            <w:tcW w:w="18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4,103</w:t>
            </w:r>
          </w:p>
        </w:tc>
        <w:tc>
          <w:tcPr>
            <w:tcW w:w="2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31%</w:t>
            </w:r>
          </w:p>
        </w:tc>
        <w:tc>
          <w:tcPr>
            <w:tcW w:w="600" w:type="dxa"/>
            <w:vAlign w:val="bottom"/>
          </w:tcPr>
          <w:p>
            <w:pPr>
              <w:spacing w:after="0"/>
              <w:rPr>
                <w:sz w:val="15"/>
                <w:szCs w:val="15"/>
                <w:color w:val="auto"/>
              </w:rPr>
            </w:pPr>
          </w:p>
        </w:tc>
      </w:tr>
      <w:tr>
        <w:trPr>
          <w:trHeight w:val="198"/>
        </w:trPr>
        <w:tc>
          <w:tcPr>
            <w:tcW w:w="3920" w:type="dxa"/>
            <w:vAlign w:val="bottom"/>
            <w:gridSpan w:val="2"/>
          </w:tcPr>
          <w:p>
            <w:pPr>
              <w:ind w:left="580"/>
              <w:spacing w:after="0"/>
              <w:rPr>
                <w:sz w:val="20"/>
                <w:szCs w:val="20"/>
                <w:color w:val="auto"/>
              </w:rPr>
            </w:pPr>
            <w:r>
              <w:rPr>
                <w:rFonts w:ascii="Arial" w:cs="Arial" w:eastAsia="Arial" w:hAnsi="Arial"/>
                <w:sz w:val="15"/>
                <w:szCs w:val="15"/>
                <w:color w:val="auto"/>
              </w:rPr>
              <w:t>Percentage of total revenue</w:t>
            </w: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15%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16%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351"/>
        </w:trPr>
        <w:tc>
          <w:tcPr>
            <w:tcW w:w="5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920" w:type="dxa"/>
            <w:vAlign w:val="bottom"/>
            <w:gridSpan w:val="2"/>
          </w:tcPr>
          <w:p>
            <w:pPr>
              <w:jc w:val="right"/>
              <w:ind w:right="40"/>
              <w:spacing w:after="0"/>
              <w:rPr>
                <w:sz w:val="20"/>
                <w:szCs w:val="20"/>
                <w:color w:val="auto"/>
              </w:rPr>
            </w:pPr>
            <w:r>
              <w:rPr>
                <w:rFonts w:ascii="Arial" w:cs="Arial" w:eastAsia="Arial" w:hAnsi="Arial"/>
                <w:sz w:val="15"/>
                <w:szCs w:val="15"/>
                <w:color w:val="auto"/>
              </w:rPr>
              <w:t>25</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90"/>
        </w:trPr>
        <w:tc>
          <w:tcPr>
            <w:tcW w:w="580" w:type="dxa"/>
            <w:vAlign w:val="bottom"/>
            <w:tcBorders>
              <w:bottom w:val="single" w:sz="8" w:color="9A9A9A"/>
            </w:tcBorders>
          </w:tcPr>
          <w:p>
            <w:pPr>
              <w:spacing w:after="0"/>
              <w:rPr>
                <w:sz w:val="7"/>
                <w:szCs w:val="7"/>
                <w:color w:val="auto"/>
              </w:rPr>
            </w:pPr>
          </w:p>
        </w:tc>
        <w:tc>
          <w:tcPr>
            <w:tcW w:w="3340" w:type="dxa"/>
            <w:vAlign w:val="bottom"/>
            <w:tcBorders>
              <w:bottom w:val="single" w:sz="8" w:color="9A9A9A"/>
            </w:tcBorders>
          </w:tcPr>
          <w:p>
            <w:pPr>
              <w:spacing w:after="0"/>
              <w:rPr>
                <w:sz w:val="7"/>
                <w:szCs w:val="7"/>
                <w:color w:val="auto"/>
              </w:rPr>
            </w:pPr>
          </w:p>
        </w:tc>
        <w:tc>
          <w:tcPr>
            <w:tcW w:w="18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-26035</wp:posOffset>
            </wp:positionV>
            <wp:extent cx="32385" cy="39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568" w:right="199" w:bottom="1440" w:gutter="0" w:footer="0" w:header="0"/>
        </w:sectPr>
      </w:pPr>
    </w:p>
    <w:bookmarkStart w:id="25" w:name="page26"/>
    <w:bookmarkEnd w:id="25"/>
    <w:p>
      <w:pPr>
        <w:ind w:left="520"/>
        <w:spacing w:after="0"/>
        <w:rPr>
          <w:sz w:val="20"/>
          <w:szCs w:val="20"/>
          <w:color w:val="auto"/>
        </w:rPr>
      </w:pPr>
      <w:r>
        <w:rPr>
          <w:rFonts w:ascii="Arial" w:cs="Arial" w:eastAsia="Arial" w:hAnsi="Arial"/>
          <w:sz w:val="13"/>
          <w:szCs w:val="13"/>
          <w:color w:val="auto"/>
        </w:rPr>
        <w:t>The increase in general and administrative expense for the three month period ended March 31, 2018 compared to the same period in 2017 was primarily due to the following:</w:t>
      </w:r>
    </w:p>
    <w:p>
      <w:pPr>
        <w:sectPr>
          <w:pgSz w:w="11900" w:h="16838" w:orient="portrait"/>
          <w:cols w:equalWidth="0" w:num="1">
            <w:col w:w="11460"/>
          </w:cols>
          <w:pgMar w:left="220" w:top="513"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Employee-related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1098550</wp:posOffset>
            </wp:positionH>
            <wp:positionV relativeFrom="paragraph">
              <wp:posOffset>-109220</wp:posOffset>
            </wp:positionV>
            <wp:extent cx="5085080" cy="1181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085080" cy="118110"/>
                    </a:xfrm>
                    <a:prstGeom prst="rect">
                      <a:avLst/>
                    </a:prstGeom>
                    <a:noFill/>
                  </pic:spPr>
                </pic:pic>
              </a:graphicData>
            </a:graphic>
          </wp:anchor>
        </w:drawing>
      </w:r>
    </w:p>
    <w:p>
      <w:pPr>
        <w:ind w:left="1740"/>
        <w:spacing w:after="0"/>
        <w:rPr>
          <w:sz w:val="20"/>
          <w:szCs w:val="20"/>
          <w:color w:val="auto"/>
        </w:rPr>
      </w:pPr>
      <w:r>
        <w:rPr>
          <w:rFonts w:ascii="Arial" w:cs="Arial" w:eastAsia="Arial" w:hAnsi="Arial"/>
          <w:sz w:val="11"/>
          <w:szCs w:val="11"/>
          <w:color w:val="auto"/>
        </w:rPr>
        <w:t>Allocated overhead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1098550</wp:posOffset>
            </wp:positionH>
            <wp:positionV relativeFrom="paragraph">
              <wp:posOffset>38100</wp:posOffset>
            </wp:positionV>
            <wp:extent cx="5085080" cy="1181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085080" cy="118110"/>
                    </a:xfrm>
                    <a:prstGeom prst="rect">
                      <a:avLst/>
                    </a:prstGeom>
                    <a:noFill/>
                  </pic:spPr>
                </pic:pic>
              </a:graphicData>
            </a:graphic>
          </wp:anchor>
        </w:drawing>
      </w:r>
    </w:p>
    <w:p>
      <w:pPr>
        <w:spacing w:after="0" w:line="40"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Customer credit card fees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right="1791"/>
        <w:spacing w:after="0"/>
        <w:rPr>
          <w:sz w:val="20"/>
          <w:szCs w:val="20"/>
          <w:color w:val="auto"/>
        </w:rPr>
      </w:pPr>
      <w:r>
        <w:rPr>
          <w:rFonts w:ascii="Arial" w:cs="Arial" w:eastAsia="Arial" w:hAnsi="Arial"/>
          <w:sz w:val="12"/>
          <w:szCs w:val="12"/>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2453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535" cy="6985"/>
                    </a:xfrm>
                    <a:prstGeom prst="rect">
                      <a:avLst/>
                    </a:prstGeom>
                    <a:noFill/>
                  </pic:spPr>
                </pic:pic>
              </a:graphicData>
            </a:graphic>
          </wp:anchor>
        </w:drawing>
      </w:r>
    </w:p>
    <w:p>
      <w:pPr>
        <w:jc w:val="center"/>
        <w:ind w:right="1791"/>
        <w:spacing w:after="0"/>
        <w:rPr>
          <w:sz w:val="20"/>
          <w:szCs w:val="20"/>
          <w:color w:val="auto"/>
        </w:rPr>
      </w:pPr>
      <w:r>
        <w:rPr>
          <w:rFonts w:ascii="Arial" w:cs="Arial" w:eastAsia="Arial" w:hAnsi="Arial"/>
          <w:sz w:val="12"/>
          <w:szCs w:val="12"/>
          <w:b w:val="1"/>
          <w:bCs w:val="1"/>
          <w:color w:val="auto"/>
        </w:rPr>
        <w:t>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2453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535" cy="6985"/>
                    </a:xfrm>
                    <a:prstGeom prst="rect">
                      <a:avLst/>
                    </a:prstGeom>
                    <a:noFill/>
                  </pic:spPr>
                </pic:pic>
              </a:graphicData>
            </a:graphic>
          </wp:anchor>
        </w:drawing>
      </w:r>
    </w:p>
    <w:p>
      <w:pPr>
        <w:jc w:val="center"/>
        <w:ind w:right="1791"/>
        <w:spacing w:after="0"/>
        <w:rPr>
          <w:sz w:val="20"/>
          <w:szCs w:val="20"/>
          <w:color w:val="auto"/>
        </w:rPr>
      </w:pPr>
      <w:r>
        <w:rPr>
          <w:rFonts w:ascii="Arial" w:cs="Arial" w:eastAsia="Arial" w:hAnsi="Arial"/>
          <w:sz w:val="12"/>
          <w:szCs w:val="12"/>
          <w:b w:val="1"/>
          <w:bCs w:val="1"/>
          <w:color w:val="auto"/>
        </w:rPr>
        <w:t>(in thousands)</w:t>
      </w:r>
    </w:p>
    <w:p>
      <w:pPr>
        <w:spacing w:after="0" w:line="5" w:lineRule="exact"/>
        <w:rPr>
          <w:sz w:val="20"/>
          <w:szCs w:val="20"/>
          <w:color w:val="auto"/>
        </w:rPr>
      </w:pPr>
    </w:p>
    <w:p>
      <w:pPr>
        <w:ind w:left="809" w:hanging="809"/>
        <w:spacing w:after="0"/>
        <w:tabs>
          <w:tab w:leader="none" w:pos="809" w:val="left"/>
        </w:tabs>
        <w:numPr>
          <w:ilvl w:val="0"/>
          <w:numId w:val="9"/>
        </w:numPr>
        <w:rPr>
          <w:rFonts w:ascii="Arial" w:cs="Arial" w:eastAsia="Arial" w:hAnsi="Arial"/>
          <w:sz w:val="11"/>
          <w:szCs w:val="11"/>
          <w:color w:val="auto"/>
        </w:rPr>
      </w:pPr>
      <w:r>
        <w:rPr>
          <w:rFonts w:ascii="Arial" w:cs="Arial" w:eastAsia="Arial" w:hAnsi="Arial"/>
          <w:sz w:val="11"/>
          <w:szCs w:val="11"/>
          <w:color w:val="auto"/>
        </w:rPr>
        <w:t>2,970</w:t>
      </w:r>
    </w:p>
    <w:p>
      <w:pPr>
        <w:spacing w:after="0" w:line="48" w:lineRule="exact"/>
        <w:rPr>
          <w:rFonts w:ascii="Arial" w:cs="Arial" w:eastAsia="Arial" w:hAnsi="Arial"/>
          <w:sz w:val="11"/>
          <w:szCs w:val="11"/>
          <w:color w:val="auto"/>
        </w:rPr>
      </w:pPr>
    </w:p>
    <w:p>
      <w:pPr>
        <w:ind w:left="909"/>
        <w:spacing w:after="0"/>
        <w:rPr>
          <w:rFonts w:ascii="Arial" w:cs="Arial" w:eastAsia="Arial" w:hAnsi="Arial"/>
          <w:sz w:val="11"/>
          <w:szCs w:val="11"/>
          <w:color w:val="auto"/>
        </w:rPr>
      </w:pPr>
      <w:r>
        <w:rPr>
          <w:rFonts w:ascii="Arial" w:cs="Arial" w:eastAsia="Arial" w:hAnsi="Arial"/>
          <w:sz w:val="13"/>
          <w:szCs w:val="13"/>
          <w:color w:val="auto"/>
        </w:rPr>
        <w:t>774</w:t>
      </w:r>
    </w:p>
    <w:p>
      <w:pPr>
        <w:spacing w:after="0" w:line="36" w:lineRule="exact"/>
        <w:rPr>
          <w:rFonts w:ascii="Arial" w:cs="Arial" w:eastAsia="Arial" w:hAnsi="Arial"/>
          <w:sz w:val="11"/>
          <w:szCs w:val="11"/>
          <w:color w:val="auto"/>
        </w:rPr>
      </w:pPr>
    </w:p>
    <w:p>
      <w:pPr>
        <w:ind w:left="909"/>
        <w:spacing w:after="0"/>
        <w:rPr>
          <w:rFonts w:ascii="Arial" w:cs="Arial" w:eastAsia="Arial" w:hAnsi="Arial"/>
          <w:sz w:val="11"/>
          <w:szCs w:val="11"/>
          <w:color w:val="auto"/>
        </w:rPr>
      </w:pPr>
      <w:r>
        <w:rPr>
          <w:rFonts w:ascii="Arial" w:cs="Arial" w:eastAsia="Arial" w:hAnsi="Arial"/>
          <w:sz w:val="13"/>
          <w:szCs w:val="13"/>
          <w:color w:val="auto"/>
        </w:rPr>
        <w:t>359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2453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535" cy="6985"/>
                    </a:xfrm>
                    <a:prstGeom prst="rect">
                      <a:avLst/>
                    </a:prstGeom>
                    <a:noFill/>
                  </pic:spPr>
                </pic:pic>
              </a:graphicData>
            </a:graphic>
          </wp:anchor>
        </w:drawing>
      </w:r>
    </w:p>
    <w:p>
      <w:pPr>
        <w:spacing w:after="0" w:line="39" w:lineRule="exact"/>
        <w:rPr>
          <w:sz w:val="20"/>
          <w:szCs w:val="20"/>
          <w:color w:val="auto"/>
        </w:rPr>
      </w:pPr>
    </w:p>
    <w:p>
      <w:pPr>
        <w:ind w:left="809" w:hanging="809"/>
        <w:spacing w:after="0"/>
        <w:tabs>
          <w:tab w:leader="none" w:pos="809" w:val="left"/>
        </w:tabs>
        <w:numPr>
          <w:ilvl w:val="0"/>
          <w:numId w:val="10"/>
        </w:numPr>
        <w:rPr>
          <w:rFonts w:ascii="Arial" w:cs="Arial" w:eastAsia="Arial" w:hAnsi="Arial"/>
          <w:sz w:val="11"/>
          <w:szCs w:val="11"/>
          <w:color w:val="auto"/>
        </w:rPr>
      </w:pPr>
      <w:r>
        <w:rPr>
          <w:rFonts w:ascii="Arial" w:cs="Arial" w:eastAsia="Arial" w:hAnsi="Arial"/>
          <w:sz w:val="11"/>
          <w:szCs w:val="11"/>
          <w:color w:val="auto"/>
        </w:rPr>
        <w:t>4,103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53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53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52070</wp:posOffset>
            </wp:positionV>
            <wp:extent cx="72453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53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11" w:space="720"/>
            <w:col w:w="2929"/>
          </w:cols>
          <w:pgMar w:left="220" w:top="513" w:right="219" w:bottom="1440" w:gutter="0" w:footer="0" w:header="0"/>
          <w:type w:val="continuous"/>
        </w:sectPr>
      </w:pPr>
    </w:p>
    <w:p>
      <w:pPr>
        <w:spacing w:after="0" w:line="112" w:lineRule="exact"/>
        <w:rPr>
          <w:sz w:val="20"/>
          <w:szCs w:val="20"/>
          <w:color w:val="auto"/>
        </w:rPr>
      </w:pPr>
    </w:p>
    <w:p>
      <w:pPr>
        <w:ind w:firstLine="520"/>
        <w:spacing w:after="0" w:line="253" w:lineRule="auto"/>
        <w:rPr>
          <w:sz w:val="20"/>
          <w:szCs w:val="20"/>
          <w:color w:val="auto"/>
        </w:rPr>
      </w:pPr>
      <w:r>
        <w:rPr>
          <w:rFonts w:ascii="Arial" w:cs="Arial" w:eastAsia="Arial" w:hAnsi="Arial"/>
          <w:sz w:val="15"/>
          <w:szCs w:val="15"/>
          <w:color w:val="auto"/>
        </w:rPr>
        <w:t>Employee-related costs increased as a result of increased headcount as we continue to grow our business and require additional personnel to support our expanded operations. Allocated overhead expenses increased due to expanding our leased space and infrastructure as we continue to grow our business and expand headcount. Customer credit card fees increased due to increased customer transactions as we continue to grow our business.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Other (expense) income</w:t>
      </w:r>
    </w:p>
    <w:p>
      <w:pPr>
        <w:spacing w:after="0" w:line="177" w:lineRule="exact"/>
        <w:rPr>
          <w:sz w:val="20"/>
          <w:szCs w:val="20"/>
          <w:color w:val="auto"/>
        </w:rPr>
      </w:pPr>
    </w:p>
    <w:p>
      <w:pPr>
        <w:jc w:val="center"/>
        <w:ind w:left="1860"/>
        <w:spacing w:after="0"/>
        <w:rPr>
          <w:sz w:val="20"/>
          <w:szCs w:val="20"/>
          <w:color w:val="auto"/>
        </w:rPr>
      </w:pPr>
      <w:r>
        <w:rPr>
          <w:rFonts w:ascii="Arial" w:cs="Arial" w:eastAsia="Arial" w:hAnsi="Arial"/>
          <w:sz w:val="12"/>
          <w:szCs w:val="12"/>
          <w:b w:val="1"/>
          <w:bCs w:val="1"/>
          <w:color w:val="auto"/>
        </w:rPr>
        <w:t>Three Months</w:t>
      </w:r>
    </w:p>
    <w:p>
      <w:pPr>
        <w:jc w:val="center"/>
        <w:ind w:left="1860"/>
        <w:spacing w:after="0"/>
        <w:rPr>
          <w:sz w:val="20"/>
          <w:szCs w:val="20"/>
          <w:color w:val="auto"/>
        </w:rPr>
      </w:pPr>
      <w:r>
        <w:rPr>
          <w:rFonts w:ascii="Arial" w:cs="Arial" w:eastAsia="Arial" w:hAnsi="Arial"/>
          <w:sz w:val="12"/>
          <w:szCs w:val="12"/>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-6985</wp:posOffset>
            </wp:positionV>
            <wp:extent cx="185991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59915" cy="698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5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(dollars in thousands)</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09"/>
              <w:spacing w:after="0"/>
              <w:rPr>
                <w:sz w:val="20"/>
                <w:szCs w:val="20"/>
                <w:color w:val="auto"/>
              </w:rPr>
            </w:pPr>
            <w:r>
              <w:rPr>
                <w:rFonts w:ascii="Arial" w:cs="Arial" w:eastAsia="Arial" w:hAnsi="Arial"/>
                <w:sz w:val="12"/>
                <w:szCs w:val="12"/>
                <w:b w:val="1"/>
                <w:bCs w:val="1"/>
                <w:color w:val="auto"/>
              </w:rPr>
              <w:t>2018</w:t>
            </w: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349"/>
              <w:spacing w:after="0"/>
              <w:rPr>
                <w:sz w:val="20"/>
                <w:szCs w:val="20"/>
                <w:color w:val="auto"/>
              </w:rPr>
            </w:pPr>
            <w:r>
              <w:rPr>
                <w:rFonts w:ascii="Arial" w:cs="Arial" w:eastAsia="Arial" w:hAnsi="Arial"/>
                <w:sz w:val="12"/>
                <w:szCs w:val="12"/>
                <w:b w:val="1"/>
                <w:bCs w:val="1"/>
                <w:color w:val="auto"/>
                <w:w w:val="82"/>
              </w:rPr>
              <w:t>2017</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51"/>
              <w:spacing w:after="0"/>
              <w:rPr>
                <w:sz w:val="20"/>
                <w:szCs w:val="20"/>
                <w:color w:val="auto"/>
              </w:rPr>
            </w:pPr>
            <w:r>
              <w:rPr>
                <w:rFonts w:ascii="Arial" w:cs="Arial" w:eastAsia="Arial" w:hAnsi="Arial"/>
                <w:sz w:val="12"/>
                <w:szCs w:val="12"/>
                <w:b w:val="1"/>
                <w:bCs w:val="1"/>
                <w:color w:val="auto"/>
              </w:rPr>
              <w:t>$ Change</w:t>
            </w:r>
          </w:p>
        </w:tc>
        <w:tc>
          <w:tcPr>
            <w:tcW w:w="140" w:type="dxa"/>
            <w:vAlign w:val="bottom"/>
          </w:tcPr>
          <w:p>
            <w:pPr>
              <w:spacing w:after="0"/>
              <w:rPr>
                <w:sz w:val="12"/>
                <w:szCs w:val="12"/>
                <w:color w:val="auto"/>
              </w:rPr>
            </w:pPr>
          </w:p>
        </w:tc>
        <w:tc>
          <w:tcPr>
            <w:tcW w:w="1240" w:type="dxa"/>
            <w:vAlign w:val="bottom"/>
            <w:tcBorders>
              <w:bottom w:val="single" w:sz="8" w:color="auto"/>
            </w:tcBorders>
          </w:tcPr>
          <w:p>
            <w:pPr>
              <w:jc w:val="right"/>
              <w:ind w:right="371"/>
              <w:spacing w:after="0"/>
              <w:rPr>
                <w:sz w:val="20"/>
                <w:szCs w:val="20"/>
                <w:color w:val="auto"/>
              </w:rPr>
            </w:pPr>
            <w:r>
              <w:rPr>
                <w:rFonts w:ascii="Arial" w:cs="Arial" w:eastAsia="Arial" w:hAnsi="Arial"/>
                <w:sz w:val="12"/>
                <w:szCs w:val="12"/>
                <w:b w:val="1"/>
                <w:bCs w:val="1"/>
                <w:color w:val="auto"/>
              </w:rPr>
              <w:t>% Change</w:t>
            </w:r>
          </w:p>
        </w:tc>
      </w:tr>
      <w:tr>
        <w:trPr>
          <w:trHeight w:val="177"/>
        </w:trPr>
        <w:tc>
          <w:tcPr>
            <w:tcW w:w="300" w:type="dxa"/>
            <w:vAlign w:val="bottom"/>
          </w:tcPr>
          <w:p>
            <w:pPr>
              <w:spacing w:after="0"/>
              <w:rPr>
                <w:sz w:val="15"/>
                <w:szCs w:val="15"/>
                <w:color w:val="auto"/>
              </w:rPr>
            </w:pPr>
          </w:p>
        </w:tc>
        <w:tc>
          <w:tcPr>
            <w:tcW w:w="4820" w:type="dxa"/>
            <w:vAlign w:val="bottom"/>
            <w:gridSpan w:val="2"/>
          </w:tcPr>
          <w:p>
            <w:pPr>
              <w:ind w:left="280"/>
              <w:spacing w:after="0"/>
              <w:rPr>
                <w:sz w:val="20"/>
                <w:szCs w:val="20"/>
                <w:color w:val="auto"/>
              </w:rPr>
            </w:pPr>
            <w:r>
              <w:rPr>
                <w:rFonts w:ascii="Arial" w:cs="Arial" w:eastAsia="Arial" w:hAnsi="Arial"/>
                <w:sz w:val="15"/>
                <w:szCs w:val="15"/>
                <w:color w:val="auto"/>
              </w:rPr>
              <w:t>Interest income</w:t>
            </w:r>
          </w:p>
        </w:tc>
        <w:tc>
          <w:tcPr>
            <w:tcW w:w="4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29"/>
              <w:spacing w:after="0"/>
              <w:rPr>
                <w:sz w:val="20"/>
                <w:szCs w:val="20"/>
                <w:color w:val="auto"/>
              </w:rPr>
            </w:pPr>
            <w:r>
              <w:rPr>
                <w:rFonts w:ascii="Arial" w:cs="Arial" w:eastAsia="Arial" w:hAnsi="Arial"/>
                <w:sz w:val="15"/>
                <w:szCs w:val="15"/>
                <w:color w:val="auto"/>
              </w:rPr>
              <w:t>1,824</w:t>
            </w: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49"/>
              <w:spacing w:after="0"/>
              <w:rPr>
                <w:sz w:val="20"/>
                <w:szCs w:val="20"/>
                <w:color w:val="auto"/>
              </w:rPr>
            </w:pPr>
            <w:r>
              <w:rPr>
                <w:rFonts w:ascii="Arial" w:cs="Arial" w:eastAsia="Arial" w:hAnsi="Arial"/>
                <w:sz w:val="15"/>
                <w:szCs w:val="15"/>
                <w:color w:val="auto"/>
              </w:rPr>
              <w:t>303</w:t>
            </w:r>
          </w:p>
        </w:tc>
        <w:tc>
          <w:tcPr>
            <w:tcW w:w="3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31"/>
              <w:spacing w:after="0"/>
              <w:rPr>
                <w:sz w:val="20"/>
                <w:szCs w:val="20"/>
                <w:color w:val="auto"/>
              </w:rPr>
            </w:pPr>
            <w:r>
              <w:rPr>
                <w:rFonts w:ascii="Arial" w:cs="Arial" w:eastAsia="Arial" w:hAnsi="Arial"/>
                <w:sz w:val="15"/>
                <w:szCs w:val="15"/>
                <w:color w:val="auto"/>
              </w:rPr>
              <w:t>1,521</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502%</w:t>
            </w:r>
          </w:p>
        </w:tc>
      </w:tr>
      <w:tr>
        <w:trPr>
          <w:trHeight w:val="186"/>
        </w:trPr>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5"/>
                <w:szCs w:val="15"/>
                <w:color w:val="auto"/>
              </w:rPr>
              <w:t>Percentage of total revenue</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center"/>
              <w:ind w:right="349"/>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r>
      <w:tr>
        <w:trPr>
          <w:trHeight w:val="186"/>
        </w:trPr>
        <w:tc>
          <w:tcPr>
            <w:tcW w:w="300" w:type="dxa"/>
            <w:vAlign w:val="bottom"/>
          </w:tcPr>
          <w:p>
            <w:pPr>
              <w:spacing w:after="0"/>
              <w:rPr>
                <w:sz w:val="16"/>
                <w:szCs w:val="16"/>
                <w:color w:val="auto"/>
              </w:rPr>
            </w:pPr>
          </w:p>
        </w:tc>
        <w:tc>
          <w:tcPr>
            <w:tcW w:w="4820" w:type="dxa"/>
            <w:vAlign w:val="bottom"/>
            <w:gridSpan w:val="2"/>
          </w:tcPr>
          <w:p>
            <w:pPr>
              <w:ind w:left="280"/>
              <w:spacing w:after="0"/>
              <w:rPr>
                <w:sz w:val="20"/>
                <w:szCs w:val="20"/>
                <w:color w:val="auto"/>
              </w:rPr>
            </w:pPr>
            <w:r>
              <w:rPr>
                <w:rFonts w:ascii="Arial" w:cs="Arial" w:eastAsia="Arial" w:hAnsi="Arial"/>
                <w:sz w:val="15"/>
                <w:szCs w:val="15"/>
                <w:color w:val="auto"/>
              </w:rPr>
              <w:t>Interest expense</w:t>
            </w:r>
          </w:p>
        </w:tc>
        <w:tc>
          <w:tcPr>
            <w:tcW w:w="4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69"/>
              <w:spacing w:after="0"/>
              <w:rPr>
                <w:sz w:val="20"/>
                <w:szCs w:val="20"/>
                <w:color w:val="auto"/>
              </w:rPr>
            </w:pPr>
            <w:r>
              <w:rPr>
                <w:rFonts w:ascii="Arial" w:cs="Arial" w:eastAsia="Arial" w:hAnsi="Arial"/>
                <w:sz w:val="15"/>
                <w:szCs w:val="15"/>
                <w:color w:val="auto"/>
              </w:rPr>
              <w:t>(5,174)</w:t>
            </w: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(52)</w:t>
            </w:r>
          </w:p>
        </w:tc>
        <w:tc>
          <w:tcPr>
            <w:tcW w:w="3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(5,122)</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9850%</w:t>
            </w:r>
          </w:p>
        </w:tc>
      </w:tr>
      <w:tr>
        <w:trPr>
          <w:trHeight w:val="186"/>
        </w:trPr>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5"/>
                <w:szCs w:val="15"/>
                <w:color w:val="auto"/>
              </w:rPr>
              <w:t>Percentage of total revenue</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center"/>
              <w:ind w:right="349"/>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r>
      <w:tr>
        <w:trPr>
          <w:trHeight w:val="186"/>
        </w:trPr>
        <w:tc>
          <w:tcPr>
            <w:tcW w:w="300" w:type="dxa"/>
            <w:vAlign w:val="bottom"/>
          </w:tcPr>
          <w:p>
            <w:pPr>
              <w:spacing w:after="0"/>
              <w:rPr>
                <w:sz w:val="16"/>
                <w:szCs w:val="16"/>
                <w:color w:val="auto"/>
              </w:rPr>
            </w:pPr>
          </w:p>
        </w:tc>
        <w:tc>
          <w:tcPr>
            <w:tcW w:w="4820" w:type="dxa"/>
            <w:vAlign w:val="bottom"/>
            <w:gridSpan w:val="2"/>
          </w:tcPr>
          <w:p>
            <w:pPr>
              <w:ind w:left="280"/>
              <w:spacing w:after="0"/>
              <w:rPr>
                <w:sz w:val="20"/>
                <w:szCs w:val="20"/>
                <w:color w:val="auto"/>
              </w:rPr>
            </w:pPr>
            <w:r>
              <w:rPr>
                <w:rFonts w:ascii="Arial" w:cs="Arial" w:eastAsia="Arial" w:hAnsi="Arial"/>
                <w:sz w:val="15"/>
                <w:szCs w:val="15"/>
                <w:color w:val="auto"/>
              </w:rPr>
              <w:t>Other expense</w:t>
            </w:r>
          </w:p>
        </w:tc>
        <w:tc>
          <w:tcPr>
            <w:tcW w:w="4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69"/>
              <w:spacing w:after="0"/>
              <w:rPr>
                <w:sz w:val="20"/>
                <w:szCs w:val="20"/>
                <w:color w:val="auto"/>
              </w:rPr>
            </w:pPr>
            <w:r>
              <w:rPr>
                <w:rFonts w:ascii="Arial" w:cs="Arial" w:eastAsia="Arial" w:hAnsi="Arial"/>
                <w:sz w:val="15"/>
                <w:szCs w:val="15"/>
                <w:color w:val="auto"/>
              </w:rPr>
              <w:t>(283)</w:t>
            </w: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(128)</w:t>
            </w:r>
          </w:p>
        </w:tc>
        <w:tc>
          <w:tcPr>
            <w:tcW w:w="3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(155)</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121%</w:t>
            </w:r>
          </w:p>
        </w:tc>
      </w:tr>
      <w:tr>
        <w:trPr>
          <w:trHeight w:val="186"/>
        </w:trPr>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5"/>
                <w:szCs w:val="15"/>
                <w:color w:val="auto"/>
              </w:rPr>
              <w:t>Percentage of total revenue</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689"/>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center"/>
              <w:ind w:right="349"/>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r>
      <w:tr>
        <w:trPr>
          <w:trHeight w:val="384"/>
        </w:trPr>
        <w:tc>
          <w:tcPr>
            <w:tcW w:w="300" w:type="dxa"/>
            <w:vAlign w:val="bottom"/>
          </w:tcPr>
          <w:p>
            <w:pPr>
              <w:jc w:val="right"/>
              <w:ind w:right="147"/>
              <w:spacing w:after="0"/>
              <w:rPr>
                <w:sz w:val="20"/>
                <w:szCs w:val="20"/>
                <w:color w:val="auto"/>
              </w:rPr>
            </w:pPr>
            <w:r>
              <w:rPr>
                <w:rFonts w:ascii="Arial" w:cs="Arial" w:eastAsia="Arial" w:hAnsi="Arial"/>
                <w:sz w:val="15"/>
                <w:szCs w:val="15"/>
                <w:color w:val="auto"/>
              </w:rPr>
              <w:t>*</w:t>
            </w:r>
          </w:p>
        </w:tc>
        <w:tc>
          <w:tcPr>
            <w:tcW w:w="4820" w:type="dxa"/>
            <w:vAlign w:val="bottom"/>
            <w:gridSpan w:val="2"/>
          </w:tcPr>
          <w:p>
            <w:pPr>
              <w:ind w:left="220"/>
              <w:spacing w:after="0"/>
              <w:rPr>
                <w:sz w:val="20"/>
                <w:szCs w:val="20"/>
                <w:color w:val="auto"/>
              </w:rPr>
            </w:pPr>
            <w:r>
              <w:rPr>
                <w:rFonts w:ascii="Arial" w:cs="Arial" w:eastAsia="Arial" w:hAnsi="Arial"/>
                <w:sz w:val="15"/>
                <w:szCs w:val="15"/>
                <w:color w:val="auto"/>
              </w:rPr>
              <w:t>not meaningful</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165" w:lineRule="exact"/>
        <w:rPr>
          <w:sz w:val="20"/>
          <w:szCs w:val="20"/>
          <w:color w:val="auto"/>
        </w:rPr>
      </w:pPr>
    </w:p>
    <w:p>
      <w:pPr>
        <w:ind w:right="120" w:firstLine="554"/>
        <w:spacing w:after="0" w:line="271" w:lineRule="auto"/>
        <w:rPr>
          <w:sz w:val="20"/>
          <w:szCs w:val="20"/>
          <w:color w:val="auto"/>
        </w:rPr>
      </w:pPr>
      <w:r>
        <w:rPr>
          <w:rFonts w:ascii="Arial" w:cs="Arial" w:eastAsia="Arial" w:hAnsi="Arial"/>
          <w:sz w:val="14"/>
          <w:szCs w:val="14"/>
          <w:color w:val="auto"/>
        </w:rPr>
        <w:t>Interest income primarily consists of interest earned on invested cash and cash equivalents balances and investments. The increase is primarily due to the increase in the amount of investment holdings from the proceeds received from the 2022 Notes. Interest expense primarily consists of amortization of the debt discount and issuance costs related to the 2022 Notes that is recorded as interest expense, contractual interest expense on the 2022 Notes, and interest on capital leases. The increase was primarily due to amortization of the debt discount and issuance costs related to the 2022 Notes that were issued during the second quarter of 2017. Other expense primarily consists of the impact of foreign currency transaction gains and losses associated with monetary assets and liabilities. The decrease was primarily due to exchange rate fluctuations.</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Income tax expense</w:t>
      </w:r>
    </w:p>
    <w:p>
      <w:pPr>
        <w:spacing w:after="0" w:line="177" w:lineRule="exact"/>
        <w:rPr>
          <w:sz w:val="20"/>
          <w:szCs w:val="20"/>
          <w:color w:val="auto"/>
        </w:rPr>
      </w:pPr>
    </w:p>
    <w:p>
      <w:pPr>
        <w:jc w:val="center"/>
        <w:ind w:left="1820"/>
        <w:spacing w:after="0"/>
        <w:rPr>
          <w:sz w:val="20"/>
          <w:szCs w:val="20"/>
          <w:color w:val="auto"/>
        </w:rPr>
      </w:pPr>
      <w:r>
        <w:rPr>
          <w:rFonts w:ascii="Arial" w:cs="Arial" w:eastAsia="Arial" w:hAnsi="Arial"/>
          <w:sz w:val="12"/>
          <w:szCs w:val="12"/>
          <w:b w:val="1"/>
          <w:bCs w:val="1"/>
          <w:color w:val="auto"/>
        </w:rPr>
        <w:t>Three Months</w:t>
      </w:r>
    </w:p>
    <w:p>
      <w:pPr>
        <w:jc w:val="center"/>
        <w:ind w:left="1820"/>
        <w:spacing w:after="0"/>
        <w:rPr>
          <w:sz w:val="20"/>
          <w:szCs w:val="20"/>
          <w:color w:val="auto"/>
        </w:rPr>
      </w:pPr>
      <w:r>
        <w:rPr>
          <w:rFonts w:ascii="Arial" w:cs="Arial" w:eastAsia="Arial" w:hAnsi="Arial"/>
          <w:sz w:val="12"/>
          <w:szCs w:val="12"/>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-6985</wp:posOffset>
            </wp:positionV>
            <wp:extent cx="176911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69110" cy="6985"/>
                    </a:xfrm>
                    <a:prstGeom prst="rect">
                      <a:avLst/>
                    </a:prstGeom>
                    <a:noFill/>
                  </pic:spPr>
                </pic:pic>
              </a:graphicData>
            </a:graphic>
          </wp:anchor>
        </w:drawing>
      </w:r>
    </w:p>
    <w:p>
      <w:pPr>
        <w:spacing w:after="0" w:line="38" w:lineRule="exact"/>
        <w:rPr>
          <w:sz w:val="20"/>
          <w:szCs w:val="20"/>
          <w:color w:val="auto"/>
        </w:rPr>
      </w:pPr>
    </w:p>
    <w:tbl>
      <w:tblPr>
        <w:tblLayout w:type="fixed"/>
        <w:tblInd w:w="580" w:type="dxa"/>
        <w:tblCellMar>
          <w:top w:w="0" w:type="dxa"/>
          <w:left w:w="0" w:type="dxa"/>
          <w:bottom w:w="0" w:type="dxa"/>
          <w:right w:w="0" w:type="dxa"/>
        </w:tblCellMar>
      </w:tblPr>
      <w:tr>
        <w:trPr>
          <w:trHeight w:val="138"/>
        </w:trPr>
        <w:tc>
          <w:tcPr>
            <w:tcW w:w="45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(dollars in thousands)</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32"/>
              <w:spacing w:after="0"/>
              <w:rPr>
                <w:sz w:val="20"/>
                <w:szCs w:val="20"/>
                <w:color w:val="auto"/>
              </w:rPr>
            </w:pPr>
            <w:r>
              <w:rPr>
                <w:rFonts w:ascii="Arial" w:cs="Arial" w:eastAsia="Arial" w:hAnsi="Arial"/>
                <w:sz w:val="12"/>
                <w:szCs w:val="12"/>
                <w:b w:val="1"/>
                <w:bCs w:val="1"/>
                <w:color w:val="auto"/>
              </w:rPr>
              <w:t>2018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92"/>
              <w:spacing w:after="0"/>
              <w:rPr>
                <w:sz w:val="20"/>
                <w:szCs w:val="20"/>
                <w:color w:val="auto"/>
              </w:rPr>
            </w:pPr>
            <w:r>
              <w:rPr>
                <w:rFonts w:ascii="Arial" w:cs="Arial" w:eastAsia="Arial" w:hAnsi="Arial"/>
                <w:sz w:val="12"/>
                <w:szCs w:val="12"/>
                <w:b w:val="1"/>
                <w:bCs w:val="1"/>
                <w:color w:val="auto"/>
              </w:rPr>
              <w:t>2017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 Change</w:t>
            </w:r>
          </w:p>
        </w:tc>
        <w:tc>
          <w:tcPr>
            <w:tcW w:w="240" w:type="dxa"/>
            <w:vAlign w:val="bottom"/>
          </w:tcPr>
          <w:p>
            <w:pPr>
              <w:spacing w:after="0"/>
              <w:rPr>
                <w:sz w:val="12"/>
                <w:szCs w:val="12"/>
                <w:color w:val="auto"/>
              </w:rPr>
            </w:pPr>
          </w:p>
        </w:tc>
        <w:tc>
          <w:tcPr>
            <w:tcW w:w="1100" w:type="dxa"/>
            <w:vAlign w:val="bottom"/>
            <w:tcBorders>
              <w:bottom w:val="single" w:sz="8" w:color="auto"/>
            </w:tcBorders>
          </w:tcPr>
          <w:p>
            <w:pPr>
              <w:ind w:left="280"/>
              <w:spacing w:after="0"/>
              <w:rPr>
                <w:sz w:val="20"/>
                <w:szCs w:val="20"/>
                <w:color w:val="auto"/>
              </w:rPr>
            </w:pPr>
            <w:r>
              <w:rPr>
                <w:rFonts w:ascii="Arial" w:cs="Arial" w:eastAsia="Arial" w:hAnsi="Arial"/>
                <w:sz w:val="12"/>
                <w:szCs w:val="12"/>
                <w:b w:val="1"/>
                <w:bCs w:val="1"/>
                <w:color w:val="auto"/>
              </w:rPr>
              <w:t>% Change</w:t>
            </w:r>
          </w:p>
        </w:tc>
        <w:tc>
          <w:tcPr>
            <w:tcW w:w="140" w:type="dxa"/>
            <w:vAlign w:val="bottom"/>
          </w:tcPr>
          <w:p>
            <w:pPr>
              <w:spacing w:after="0"/>
              <w:rPr>
                <w:sz w:val="12"/>
                <w:szCs w:val="12"/>
                <w:color w:val="auto"/>
              </w:rPr>
            </w:pPr>
          </w:p>
        </w:tc>
      </w:tr>
      <w:tr>
        <w:trPr>
          <w:trHeight w:val="177"/>
        </w:trPr>
        <w:tc>
          <w:tcPr>
            <w:tcW w:w="4540" w:type="dxa"/>
            <w:vAlign w:val="bottom"/>
          </w:tcPr>
          <w:p>
            <w:pPr>
              <w:spacing w:after="0"/>
              <w:rPr>
                <w:sz w:val="20"/>
                <w:szCs w:val="20"/>
                <w:color w:val="auto"/>
              </w:rPr>
            </w:pPr>
            <w:r>
              <w:rPr>
                <w:rFonts w:ascii="Arial" w:cs="Arial" w:eastAsia="Arial" w:hAnsi="Arial"/>
                <w:sz w:val="15"/>
                <w:szCs w:val="15"/>
                <w:color w:val="auto"/>
              </w:rPr>
              <w:t>Income tax expense</w:t>
            </w:r>
          </w:p>
        </w:tc>
        <w:tc>
          <w:tcPr>
            <w:tcW w:w="4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5"/>
                <w:szCs w:val="15"/>
                <w:color w:val="auto"/>
              </w:rPr>
              <w:t>(491)</w:t>
            </w:r>
          </w:p>
        </w:tc>
        <w:tc>
          <w:tcPr>
            <w:tcW w:w="4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(198)</w:t>
            </w:r>
          </w:p>
        </w:tc>
        <w:tc>
          <w:tcPr>
            <w:tcW w:w="2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(293)</w:t>
            </w:r>
          </w:p>
        </w:tc>
        <w:tc>
          <w:tcPr>
            <w:tcW w:w="1240" w:type="dxa"/>
            <w:vAlign w:val="bottom"/>
            <w:gridSpan w:val="2"/>
          </w:tcPr>
          <w:p>
            <w:pPr>
              <w:jc w:val="right"/>
              <w:ind w:right="20"/>
              <w:spacing w:after="0"/>
              <w:rPr>
                <w:sz w:val="20"/>
                <w:szCs w:val="20"/>
                <w:color w:val="auto"/>
              </w:rPr>
            </w:pPr>
            <w:r>
              <w:rPr>
                <w:rFonts w:ascii="Arial" w:cs="Arial" w:eastAsia="Arial" w:hAnsi="Arial"/>
                <w:sz w:val="15"/>
                <w:szCs w:val="15"/>
                <w:color w:val="auto"/>
              </w:rPr>
              <w:t>148%</w:t>
            </w:r>
          </w:p>
        </w:tc>
      </w:tr>
      <w:tr>
        <w:trPr>
          <w:trHeight w:val="186"/>
        </w:trPr>
        <w:tc>
          <w:tcPr>
            <w:tcW w:w="4540" w:type="dxa"/>
            <w:vAlign w:val="bottom"/>
            <w:shd w:val="clear" w:color="auto" w:fill="CFF0FC"/>
          </w:tcPr>
          <w:p>
            <w:pPr>
              <w:spacing w:after="0"/>
              <w:rPr>
                <w:sz w:val="20"/>
                <w:szCs w:val="20"/>
                <w:color w:val="auto"/>
              </w:rPr>
            </w:pPr>
            <w:r>
              <w:rPr>
                <w:rFonts w:ascii="Arial" w:cs="Arial" w:eastAsia="Arial" w:hAnsi="Arial"/>
                <w:sz w:val="15"/>
                <w:szCs w:val="15"/>
                <w:color w:val="auto"/>
              </w:rPr>
              <w:t>Effective tax rate</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3%</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3%</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r>
    </w:tbl>
    <w:p>
      <w:pPr>
        <w:spacing w:after="0" w:line="198" w:lineRule="exact"/>
        <w:rPr>
          <w:sz w:val="20"/>
          <w:szCs w:val="20"/>
          <w:color w:val="auto"/>
        </w:rPr>
      </w:pPr>
    </w:p>
    <w:p>
      <w:pPr>
        <w:ind w:left="780"/>
        <w:spacing w:after="0"/>
        <w:rPr>
          <w:sz w:val="20"/>
          <w:szCs w:val="20"/>
          <w:color w:val="auto"/>
        </w:rPr>
      </w:pPr>
      <w:r>
        <w:rPr>
          <w:rFonts w:ascii="Arial" w:cs="Arial" w:eastAsia="Arial" w:hAnsi="Arial"/>
          <w:sz w:val="15"/>
          <w:szCs w:val="15"/>
          <w:color w:val="auto"/>
        </w:rPr>
        <w:t>Income tax expense consists of current and deferred taxes for U.S. and foreign income.</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principal sources of liquidity to date have been cash and cash equivalents, net accounts receivable, our common stock offerings, and our convertible notes offering.</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1390" cy="39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60"/>
          </w:cols>
          <w:pgMar w:left="220" w:top="513" w:right="219" w:bottom="1440" w:gutter="0" w:footer="0" w:header="0"/>
          <w:type w:val="continuous"/>
        </w:sectPr>
      </w:pPr>
    </w:p>
    <w:bookmarkStart w:id="26" w:name="page27"/>
    <w:bookmarkEnd w:id="26"/>
    <w:p>
      <w:pPr>
        <w:ind w:right="320" w:firstLine="520"/>
        <w:spacing w:after="0" w:line="263" w:lineRule="auto"/>
        <w:rPr>
          <w:sz w:val="20"/>
          <w:szCs w:val="20"/>
          <w:color w:val="auto"/>
        </w:rPr>
      </w:pPr>
      <w:r>
        <w:rPr>
          <w:rFonts w:ascii="Arial" w:cs="Arial" w:eastAsia="Arial" w:hAnsi="Arial"/>
          <w:sz w:val="15"/>
          <w:szCs w:val="15"/>
          <w:color w:val="auto"/>
        </w:rPr>
        <w:t>The following table shows cash and cash equivalents, working capital, net cash and cash equivalents provided by operating activities, net cash and cash equivalents used in investing activities, and net cash and cash equivalents provided by financing activities for the three months ended March 31, 2018 and 2017.</w:t>
      </w:r>
    </w:p>
    <w:p>
      <w:pPr>
        <w:spacing w:after="0" w:line="153" w:lineRule="exact"/>
        <w:rPr>
          <w:sz w:val="20"/>
          <w:szCs w:val="20"/>
          <w:color w:val="auto"/>
        </w:rPr>
      </w:pPr>
    </w:p>
    <w:tbl>
      <w:tblPr>
        <w:tblLayout w:type="fixed"/>
        <w:tblInd w:w="1740" w:type="dxa"/>
        <w:tblCellMar>
          <w:top w:w="0" w:type="dxa"/>
          <w:left w:w="0" w:type="dxa"/>
          <w:bottom w:w="0" w:type="dxa"/>
          <w:right w:w="0" w:type="dxa"/>
        </w:tblCellMar>
      </w:tblPr>
      <w:tr>
        <w:trPr>
          <w:trHeight w:val="138"/>
        </w:trPr>
        <w:tc>
          <w:tcPr>
            <w:tcW w:w="5100" w:type="dxa"/>
            <w:vAlign w:val="bottom"/>
          </w:tcPr>
          <w:p>
            <w:pPr>
              <w:spacing w:after="0"/>
              <w:rPr>
                <w:sz w:val="12"/>
                <w:szCs w:val="12"/>
                <w:color w:val="auto"/>
              </w:rPr>
            </w:pPr>
          </w:p>
        </w:tc>
        <w:tc>
          <w:tcPr>
            <w:tcW w:w="2320" w:type="dxa"/>
            <w:vAlign w:val="bottom"/>
            <w:tcBorders>
              <w:bottom w:val="single" w:sz="8" w:color="auto"/>
            </w:tcBorders>
            <w:gridSpan w:val="3"/>
          </w:tcPr>
          <w:p>
            <w:pPr>
              <w:jc w:val="center"/>
              <w:ind w:left="437"/>
              <w:spacing w:after="0"/>
              <w:rPr>
                <w:sz w:val="20"/>
                <w:szCs w:val="20"/>
                <w:color w:val="auto"/>
              </w:rPr>
            </w:pPr>
            <w:r>
              <w:rPr>
                <w:rFonts w:ascii="Arial" w:cs="Arial" w:eastAsia="Arial" w:hAnsi="Arial"/>
                <w:sz w:val="12"/>
                <w:szCs w:val="12"/>
                <w:b w:val="1"/>
                <w:bCs w:val="1"/>
                <w:color w:val="auto"/>
                <w:w w:val="89"/>
              </w:rPr>
              <w:t>Three Months ended March 31</w:t>
            </w:r>
          </w:p>
        </w:tc>
        <w:tc>
          <w:tcPr>
            <w:tcW w:w="5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23"/>
        </w:trPr>
        <w:tc>
          <w:tcPr>
            <w:tcW w:w="5100" w:type="dxa"/>
            <w:vAlign w:val="bottom"/>
          </w:tcPr>
          <w:p>
            <w:pPr>
              <w:spacing w:after="0"/>
              <w:rPr>
                <w:sz w:val="10"/>
                <w:szCs w:val="10"/>
                <w:color w:val="auto"/>
              </w:rPr>
            </w:pPr>
          </w:p>
        </w:tc>
        <w:tc>
          <w:tcPr>
            <w:tcW w:w="80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2"/>
                <w:szCs w:val="12"/>
                <w:b w:val="1"/>
                <w:bCs w:val="1"/>
                <w:color w:val="auto"/>
              </w:rPr>
              <w:t>2018</w:t>
            </w:r>
          </w:p>
        </w:tc>
        <w:tc>
          <w:tcPr>
            <w:tcW w:w="6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2"/>
                <w:szCs w:val="12"/>
                <w:b w:val="1"/>
                <w:bCs w:val="1"/>
                <w:color w:val="auto"/>
              </w:rPr>
              <w:t>2017</w:t>
            </w:r>
          </w:p>
        </w:tc>
        <w:tc>
          <w:tcPr>
            <w:tcW w:w="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23"/>
        </w:trPr>
        <w:tc>
          <w:tcPr>
            <w:tcW w:w="5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520" w:type="dxa"/>
            <w:vAlign w:val="bottom"/>
            <w:gridSpan w:val="2"/>
          </w:tcPr>
          <w:p>
            <w:pPr>
              <w:jc w:val="center"/>
              <w:ind w:right="234"/>
              <w:spacing w:after="0" w:line="123" w:lineRule="exact"/>
              <w:rPr>
                <w:sz w:val="20"/>
                <w:szCs w:val="20"/>
                <w:color w:val="auto"/>
              </w:rPr>
            </w:pPr>
            <w:r>
              <w:rPr>
                <w:rFonts w:ascii="Arial" w:cs="Arial" w:eastAsia="Arial" w:hAnsi="Arial"/>
                <w:sz w:val="12"/>
                <w:szCs w:val="12"/>
                <w:b w:val="1"/>
                <w:bCs w:val="1"/>
                <w:color w:val="auto"/>
                <w:w w:val="84"/>
              </w:rPr>
              <w:t>(in thousands)</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86"/>
        </w:trPr>
        <w:tc>
          <w:tcPr>
            <w:tcW w:w="5100" w:type="dxa"/>
            <w:vAlign w:val="bottom"/>
            <w:shd w:val="clear" w:color="auto" w:fill="CFF0FC"/>
          </w:tcPr>
          <w:p>
            <w:pPr>
              <w:spacing w:after="0"/>
              <w:rPr>
                <w:sz w:val="20"/>
                <w:szCs w:val="20"/>
                <w:color w:val="auto"/>
              </w:rPr>
            </w:pPr>
            <w:r>
              <w:rPr>
                <w:rFonts w:ascii="Arial" w:cs="Arial" w:eastAsia="Arial" w:hAnsi="Arial"/>
                <w:sz w:val="15"/>
                <w:szCs w:val="15"/>
                <w:color w:val="auto"/>
              </w:rPr>
              <w:t>Cash and cash equivalents</w:t>
            </w:r>
          </w:p>
        </w:tc>
        <w:tc>
          <w:tcPr>
            <w:tcW w:w="800" w:type="dxa"/>
            <w:vAlign w:val="bottom"/>
            <w:shd w:val="clear" w:color="auto" w:fill="CFF0FC"/>
          </w:tcPr>
          <w:p>
            <w:pPr>
              <w:jc w:val="right"/>
              <w:ind w:right="65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ind w:right="29"/>
              <w:spacing w:after="0"/>
              <w:rPr>
                <w:sz w:val="20"/>
                <w:szCs w:val="20"/>
                <w:color w:val="auto"/>
              </w:rPr>
            </w:pPr>
            <w:r>
              <w:rPr>
                <w:rFonts w:ascii="Arial" w:cs="Arial" w:eastAsia="Arial" w:hAnsi="Arial"/>
                <w:sz w:val="15"/>
                <w:szCs w:val="15"/>
                <w:color w:val="auto"/>
                <w:w w:val="88"/>
              </w:rPr>
              <w:t>154,031</w:t>
            </w:r>
          </w:p>
        </w:tc>
        <w:tc>
          <w:tcPr>
            <w:tcW w:w="920" w:type="dxa"/>
            <w:vAlign w:val="bottom"/>
            <w:shd w:val="clear" w:color="auto" w:fill="CFF0FC"/>
          </w:tcPr>
          <w:p>
            <w:pPr>
              <w:jc w:val="right"/>
              <w:ind w:right="674"/>
              <w:spacing w:after="0"/>
              <w:rPr>
                <w:sz w:val="20"/>
                <w:szCs w:val="20"/>
                <w:color w:val="auto"/>
              </w:rPr>
            </w:pPr>
            <w:r>
              <w:rPr>
                <w:rFonts w:ascii="Arial" w:cs="Arial" w:eastAsia="Arial" w:hAnsi="Arial"/>
                <w:sz w:val="15"/>
                <w:szCs w:val="15"/>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69,786</w:t>
            </w:r>
          </w:p>
        </w:tc>
        <w:tc>
          <w:tcPr>
            <w:tcW w:w="80" w:type="dxa"/>
            <w:vAlign w:val="bottom"/>
            <w:shd w:val="clear" w:color="auto" w:fill="CFF0FC"/>
          </w:tcPr>
          <w:p>
            <w:pPr>
              <w:spacing w:after="0"/>
              <w:rPr>
                <w:sz w:val="16"/>
                <w:szCs w:val="16"/>
                <w:color w:val="auto"/>
              </w:rPr>
            </w:pPr>
          </w:p>
        </w:tc>
      </w:tr>
      <w:tr>
        <w:trPr>
          <w:trHeight w:val="186"/>
        </w:trPr>
        <w:tc>
          <w:tcPr>
            <w:tcW w:w="5100" w:type="dxa"/>
            <w:vAlign w:val="bottom"/>
          </w:tcPr>
          <w:p>
            <w:pPr>
              <w:spacing w:after="0"/>
              <w:rPr>
                <w:sz w:val="20"/>
                <w:szCs w:val="20"/>
                <w:color w:val="auto"/>
              </w:rPr>
            </w:pPr>
            <w:r>
              <w:rPr>
                <w:rFonts w:ascii="Arial" w:cs="Arial" w:eastAsia="Arial" w:hAnsi="Arial"/>
                <w:sz w:val="15"/>
                <w:szCs w:val="15"/>
                <w:color w:val="auto"/>
              </w:rPr>
              <w:t>Working capital</w:t>
            </w:r>
          </w:p>
        </w:tc>
        <w:tc>
          <w:tcPr>
            <w:tcW w:w="800" w:type="dxa"/>
            <w:vAlign w:val="bottom"/>
          </w:tcPr>
          <w:p>
            <w:pPr>
              <w:spacing w:after="0"/>
              <w:rPr>
                <w:sz w:val="16"/>
                <w:szCs w:val="16"/>
                <w:color w:val="auto"/>
              </w:rPr>
            </w:pPr>
          </w:p>
        </w:tc>
        <w:tc>
          <w:tcPr>
            <w:tcW w:w="600" w:type="dxa"/>
            <w:vAlign w:val="bottom"/>
          </w:tcPr>
          <w:p>
            <w:pPr>
              <w:jc w:val="right"/>
              <w:ind w:right="29"/>
              <w:spacing w:after="0"/>
              <w:rPr>
                <w:sz w:val="20"/>
                <w:szCs w:val="20"/>
                <w:color w:val="auto"/>
              </w:rPr>
            </w:pPr>
            <w:r>
              <w:rPr>
                <w:rFonts w:ascii="Arial" w:cs="Arial" w:eastAsia="Arial" w:hAnsi="Arial"/>
                <w:sz w:val="15"/>
                <w:szCs w:val="15"/>
                <w:color w:val="auto"/>
                <w:w w:val="88"/>
              </w:rPr>
              <w:t>427,173</w:t>
            </w:r>
          </w:p>
        </w:tc>
        <w:tc>
          <w:tcPr>
            <w:tcW w:w="9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44,137</w:t>
            </w:r>
          </w:p>
        </w:tc>
        <w:tc>
          <w:tcPr>
            <w:tcW w:w="80" w:type="dxa"/>
            <w:vAlign w:val="bottom"/>
          </w:tcPr>
          <w:p>
            <w:pPr>
              <w:spacing w:after="0"/>
              <w:rPr>
                <w:sz w:val="16"/>
                <w:szCs w:val="16"/>
                <w:color w:val="auto"/>
              </w:rPr>
            </w:pPr>
          </w:p>
        </w:tc>
      </w:tr>
      <w:tr>
        <w:trPr>
          <w:trHeight w:val="186"/>
        </w:trPr>
        <w:tc>
          <w:tcPr>
            <w:tcW w:w="5100" w:type="dxa"/>
            <w:vAlign w:val="bottom"/>
            <w:shd w:val="clear" w:color="auto" w:fill="CFF0FC"/>
          </w:tcPr>
          <w:p>
            <w:pPr>
              <w:spacing w:after="0"/>
              <w:rPr>
                <w:sz w:val="20"/>
                <w:szCs w:val="20"/>
                <w:color w:val="auto"/>
              </w:rPr>
            </w:pPr>
            <w:r>
              <w:rPr>
                <w:rFonts w:ascii="Arial" w:cs="Arial" w:eastAsia="Arial" w:hAnsi="Arial"/>
                <w:sz w:val="15"/>
                <w:szCs w:val="15"/>
                <w:color w:val="auto"/>
              </w:rPr>
              <w:t>Net cash and cash equivalents provided by operating activities</w:t>
            </w:r>
          </w:p>
        </w:tc>
        <w:tc>
          <w:tcPr>
            <w:tcW w:w="800" w:type="dxa"/>
            <w:vAlign w:val="bottom"/>
            <w:shd w:val="clear" w:color="auto" w:fill="CFF0FC"/>
          </w:tcPr>
          <w:p>
            <w:pPr>
              <w:spacing w:after="0"/>
              <w:rPr>
                <w:sz w:val="16"/>
                <w:szCs w:val="16"/>
                <w:color w:val="auto"/>
              </w:rPr>
            </w:pPr>
          </w:p>
        </w:tc>
        <w:tc>
          <w:tcPr>
            <w:tcW w:w="600" w:type="dxa"/>
            <w:vAlign w:val="bottom"/>
            <w:shd w:val="clear" w:color="auto" w:fill="CFF0FC"/>
          </w:tcPr>
          <w:p>
            <w:pPr>
              <w:jc w:val="right"/>
              <w:ind w:right="29"/>
              <w:spacing w:after="0"/>
              <w:rPr>
                <w:sz w:val="20"/>
                <w:szCs w:val="20"/>
                <w:color w:val="auto"/>
              </w:rPr>
            </w:pPr>
            <w:r>
              <w:rPr>
                <w:rFonts w:ascii="Arial" w:cs="Arial" w:eastAsia="Arial" w:hAnsi="Arial"/>
                <w:sz w:val="15"/>
                <w:szCs w:val="15"/>
                <w:color w:val="auto"/>
              </w:rPr>
              <w:t>26,722</w:t>
            </w:r>
          </w:p>
        </w:tc>
        <w:tc>
          <w:tcPr>
            <w:tcW w:w="92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19,092</w:t>
            </w:r>
          </w:p>
        </w:tc>
        <w:tc>
          <w:tcPr>
            <w:tcW w:w="80" w:type="dxa"/>
            <w:vAlign w:val="bottom"/>
            <w:shd w:val="clear" w:color="auto" w:fill="CFF0FC"/>
          </w:tcPr>
          <w:p>
            <w:pPr>
              <w:spacing w:after="0"/>
              <w:rPr>
                <w:sz w:val="16"/>
                <w:szCs w:val="16"/>
                <w:color w:val="auto"/>
              </w:rPr>
            </w:pPr>
          </w:p>
        </w:tc>
      </w:tr>
      <w:tr>
        <w:trPr>
          <w:trHeight w:val="186"/>
        </w:trPr>
        <w:tc>
          <w:tcPr>
            <w:tcW w:w="5100" w:type="dxa"/>
            <w:vAlign w:val="bottom"/>
          </w:tcPr>
          <w:p>
            <w:pPr>
              <w:spacing w:after="0"/>
              <w:rPr>
                <w:sz w:val="20"/>
                <w:szCs w:val="20"/>
                <w:color w:val="auto"/>
              </w:rPr>
            </w:pPr>
            <w:r>
              <w:rPr>
                <w:rFonts w:ascii="Arial" w:cs="Arial" w:eastAsia="Arial" w:hAnsi="Arial"/>
                <w:sz w:val="15"/>
                <w:szCs w:val="15"/>
                <w:color w:val="auto"/>
              </w:rPr>
              <w:t>Net cash and cash equivalents used in investing activities</w:t>
            </w:r>
          </w:p>
        </w:tc>
        <w:tc>
          <w:tcPr>
            <w:tcW w:w="800" w:type="dxa"/>
            <w:vAlign w:val="bottom"/>
          </w:tcPr>
          <w:p>
            <w:pPr>
              <w:spacing w:after="0"/>
              <w:rPr>
                <w:sz w:val="16"/>
                <w:szCs w:val="16"/>
                <w:color w:val="auto"/>
              </w:rPr>
            </w:pPr>
          </w:p>
        </w:tc>
        <w:tc>
          <w:tcPr>
            <w:tcW w:w="600" w:type="dxa"/>
            <w:vAlign w:val="bottom"/>
          </w:tcPr>
          <w:p>
            <w:pPr>
              <w:jc w:val="right"/>
              <w:ind w:right="29"/>
              <w:spacing w:after="0"/>
              <w:rPr>
                <w:sz w:val="20"/>
                <w:szCs w:val="20"/>
                <w:color w:val="auto"/>
              </w:rPr>
            </w:pPr>
            <w:r>
              <w:rPr>
                <w:rFonts w:ascii="Arial" w:cs="Arial" w:eastAsia="Arial" w:hAnsi="Arial"/>
                <w:sz w:val="15"/>
                <w:szCs w:val="15"/>
                <w:color w:val="auto"/>
              </w:rPr>
              <w:t>36,259</w:t>
            </w:r>
          </w:p>
        </w:tc>
        <w:tc>
          <w:tcPr>
            <w:tcW w:w="920" w:type="dxa"/>
            <w:vAlign w:val="bottom"/>
          </w:tcPr>
          <w:p>
            <w:pPr>
              <w:spacing w:after="0"/>
              <w:rPr>
                <w:sz w:val="16"/>
                <w:szCs w:val="16"/>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5"/>
                <w:szCs w:val="15"/>
                <w:color w:val="auto"/>
                <w:w w:val="93"/>
              </w:rPr>
              <w:t>(12,383)</w:t>
            </w:r>
          </w:p>
        </w:tc>
      </w:tr>
      <w:tr>
        <w:trPr>
          <w:trHeight w:val="176"/>
        </w:trPr>
        <w:tc>
          <w:tcPr>
            <w:tcW w:w="5100" w:type="dxa"/>
            <w:vAlign w:val="bottom"/>
            <w:shd w:val="clear" w:color="auto" w:fill="CFF0FC"/>
          </w:tcPr>
          <w:p>
            <w:pPr>
              <w:spacing w:after="0"/>
              <w:rPr>
                <w:sz w:val="20"/>
                <w:szCs w:val="20"/>
                <w:color w:val="auto"/>
              </w:rPr>
            </w:pPr>
            <w:r>
              <w:rPr>
                <w:rFonts w:ascii="Arial" w:cs="Arial" w:eastAsia="Arial" w:hAnsi="Arial"/>
                <w:sz w:val="15"/>
                <w:szCs w:val="15"/>
                <w:color w:val="auto"/>
              </w:rPr>
              <w:t>Net cash and cash equivalents provided by</w:t>
            </w:r>
          </w:p>
        </w:tc>
        <w:tc>
          <w:tcPr>
            <w:tcW w:w="8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6"/>
        </w:trPr>
        <w:tc>
          <w:tcPr>
            <w:tcW w:w="5100" w:type="dxa"/>
            <w:vAlign w:val="bottom"/>
            <w:shd w:val="clear" w:color="auto" w:fill="CFF0FC"/>
          </w:tcPr>
          <w:p>
            <w:pPr>
              <w:ind w:left="100"/>
              <w:spacing w:after="0"/>
              <w:rPr>
                <w:sz w:val="20"/>
                <w:szCs w:val="20"/>
                <w:color w:val="auto"/>
              </w:rPr>
            </w:pPr>
            <w:r>
              <w:rPr>
                <w:rFonts w:ascii="Arial" w:cs="Arial" w:eastAsia="Arial" w:hAnsi="Arial"/>
                <w:sz w:val="15"/>
                <w:szCs w:val="15"/>
                <w:color w:val="auto"/>
              </w:rPr>
              <w:t>financing activities</w:t>
            </w:r>
          </w:p>
        </w:tc>
        <w:tc>
          <w:tcPr>
            <w:tcW w:w="800" w:type="dxa"/>
            <w:vAlign w:val="bottom"/>
            <w:shd w:val="clear" w:color="auto" w:fill="CFF0FC"/>
          </w:tcPr>
          <w:p>
            <w:pPr>
              <w:spacing w:after="0"/>
              <w:rPr>
                <w:sz w:val="16"/>
                <w:szCs w:val="16"/>
                <w:color w:val="auto"/>
              </w:rPr>
            </w:pPr>
          </w:p>
        </w:tc>
        <w:tc>
          <w:tcPr>
            <w:tcW w:w="600" w:type="dxa"/>
            <w:vAlign w:val="bottom"/>
            <w:shd w:val="clear" w:color="auto" w:fill="CFF0FC"/>
          </w:tcPr>
          <w:p>
            <w:pPr>
              <w:jc w:val="right"/>
              <w:ind w:right="29"/>
              <w:spacing w:after="0"/>
              <w:rPr>
                <w:sz w:val="20"/>
                <w:szCs w:val="20"/>
                <w:color w:val="auto"/>
              </w:rPr>
            </w:pPr>
            <w:r>
              <w:rPr>
                <w:rFonts w:ascii="Arial" w:cs="Arial" w:eastAsia="Arial" w:hAnsi="Arial"/>
                <w:sz w:val="15"/>
                <w:szCs w:val="15"/>
                <w:color w:val="auto"/>
              </w:rPr>
              <w:t>3,557</w:t>
            </w:r>
          </w:p>
        </w:tc>
        <w:tc>
          <w:tcPr>
            <w:tcW w:w="92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2,947</w:t>
            </w:r>
          </w:p>
        </w:tc>
        <w:tc>
          <w:tcPr>
            <w:tcW w:w="80" w:type="dxa"/>
            <w:vAlign w:val="bottom"/>
            <w:shd w:val="clear" w:color="auto" w:fill="CFF0FC"/>
          </w:tcPr>
          <w:p>
            <w:pPr>
              <w:spacing w:after="0"/>
              <w:rPr>
                <w:sz w:val="16"/>
                <w:szCs w:val="16"/>
                <w:color w:val="auto"/>
              </w:rPr>
            </w:pPr>
          </w:p>
        </w:tc>
      </w:tr>
    </w:tbl>
    <w:p>
      <w:pPr>
        <w:spacing w:after="0" w:line="220" w:lineRule="exact"/>
        <w:rPr>
          <w:sz w:val="20"/>
          <w:szCs w:val="20"/>
          <w:color w:val="auto"/>
        </w:rPr>
      </w:pPr>
    </w:p>
    <w:p>
      <w:pPr>
        <w:ind w:firstLine="520"/>
        <w:spacing w:after="0" w:line="249" w:lineRule="auto"/>
        <w:rPr>
          <w:sz w:val="20"/>
          <w:szCs w:val="20"/>
          <w:color w:val="auto"/>
        </w:rPr>
      </w:pPr>
      <w:r>
        <w:rPr>
          <w:rFonts w:ascii="Arial" w:cs="Arial" w:eastAsia="Arial" w:hAnsi="Arial"/>
          <w:sz w:val="15"/>
          <w:szCs w:val="15"/>
          <w:color w:val="auto"/>
        </w:rPr>
        <w:t>Our cash and cash equivalents at March 31, 2018 was held for working capital purposes. We believe our working capital is sufficient to support our operations for at least the next 12 months. At March 31, 2018, $32.7 million of our cash and cash equivalents was held in accounts outside the United States. At December 31, 2017, undistributed foreign earnings of approximately $6.9 million have been taxed due to a one-time transition tax on previously undistributed foreign earnings. For any future foreign earnings, we will generally be free of additional U.S. federal tax consequences due to a dividends received deduction implemented as part of the move to a territorial tax system for foreign subsidiary earnings. Additionally, our current plans do not demonstrate a need to repatriate undistributed earnings to fund our U.S. operations.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Net Cash and Cash Equivalents Provided by Operating Activities</w:t>
      </w:r>
    </w:p>
    <w:p>
      <w:pPr>
        <w:spacing w:after="0" w:line="91" w:lineRule="exact"/>
        <w:rPr>
          <w:sz w:val="20"/>
          <w:szCs w:val="20"/>
          <w:color w:val="auto"/>
        </w:rPr>
      </w:pPr>
    </w:p>
    <w:p>
      <w:pPr>
        <w:ind w:right="220" w:firstLine="520"/>
        <w:spacing w:after="0" w:line="263" w:lineRule="auto"/>
        <w:rPr>
          <w:sz w:val="20"/>
          <w:szCs w:val="20"/>
          <w:color w:val="auto"/>
        </w:rPr>
      </w:pPr>
      <w:r>
        <w:rPr>
          <w:rFonts w:ascii="Arial" w:cs="Arial" w:eastAsia="Arial" w:hAnsi="Arial"/>
          <w:sz w:val="15"/>
          <w:szCs w:val="15"/>
          <w:color w:val="auto"/>
        </w:rPr>
        <w:t>Net cash and cash equivalents provided by operating activities consists primarily of net loss adjusted for certain non-cash items, including stock-based compensation, depreciation and amortization and other non-cash charges, net.</w:t>
      </w:r>
    </w:p>
    <w:p>
      <w:pPr>
        <w:spacing w:after="0" w:line="149" w:lineRule="exact"/>
        <w:rPr>
          <w:sz w:val="20"/>
          <w:szCs w:val="20"/>
          <w:color w:val="auto"/>
        </w:rPr>
      </w:pPr>
    </w:p>
    <w:p>
      <w:pPr>
        <w:ind w:right="40" w:firstLine="554"/>
        <w:spacing w:after="0" w:line="296" w:lineRule="auto"/>
        <w:rPr>
          <w:sz w:val="20"/>
          <w:szCs w:val="20"/>
          <w:color w:val="auto"/>
        </w:rPr>
      </w:pPr>
      <w:r>
        <w:rPr>
          <w:rFonts w:ascii="Arial" w:cs="Arial" w:eastAsia="Arial" w:hAnsi="Arial"/>
          <w:sz w:val="13"/>
          <w:szCs w:val="13"/>
          <w:color w:val="auto"/>
        </w:rPr>
        <w:t>Net cash and cash equivalents provided by operating activities during the three months ended March 31, 2018 primarily reflected our net loss of $15.4 million and accretion of bond discount premium of $1.2 million offset by non-cash expenses that included $5.1 million of depreciation and amortization, $16.0 million in stock-based compensation, $0.8 million of non-cash rent expense and $4.9 million of amortization of debt discount and issuance costs. Working capital sources of cash and cash equivalents included an $11.0 million increase in deferred revenue primarily resulting from the growth in the number of customers invoiced during the period, a $6.9 million decrease in accounts receivable related to increased collections, $1.9 million decrease in prepaid expenses, and a $1.7 million increase in accrued expenses. These sources of cash and cash equivalents were offset by a $5.1 million increase in deferred commissions.</w:t>
      </w:r>
    </w:p>
    <w:p>
      <w:pPr>
        <w:spacing w:after="0" w:line="131" w:lineRule="exact"/>
        <w:rPr>
          <w:sz w:val="20"/>
          <w:szCs w:val="20"/>
          <w:color w:val="auto"/>
        </w:rPr>
      </w:pPr>
    </w:p>
    <w:p>
      <w:pPr>
        <w:ind w:right="20" w:firstLine="554"/>
        <w:spacing w:after="0" w:line="296" w:lineRule="auto"/>
        <w:rPr>
          <w:sz w:val="20"/>
          <w:szCs w:val="20"/>
          <w:color w:val="auto"/>
        </w:rPr>
      </w:pPr>
      <w:r>
        <w:rPr>
          <w:rFonts w:ascii="Arial" w:cs="Arial" w:eastAsia="Arial" w:hAnsi="Arial"/>
          <w:sz w:val="13"/>
          <w:szCs w:val="13"/>
          <w:color w:val="auto"/>
        </w:rPr>
        <w:t>Net cash and cash equivalents provided by operating activities during the three months ended March 31, 2017 primarily reflected our net loss of $8.1 million offset by non-cash expenses that included $3.3 million of depreciation and amortization, $9.3 million in stock-based compensation, $1.7 million of non-cash rent expense and $77 thousand amortization of bond premium. Working capital sources of cash and cash equivalents included an $8.5 million increase in deferred revenue primarily resulting from the growth in the number of customers invoiced during the period, a $4.2 million decrease in accounts receivable related to increased collections, $1.1 million decrease in prepaid expenses, and a $0.9 million increase in accrued expenses. These sources of cash and cash equivalents were offset by a $1.3 million decrease in accounts payable and a $0.5 million increase in deferred commissions.</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Net Cash and Cash Equivalents Used in Investing Activities</w:t>
      </w:r>
    </w:p>
    <w:p>
      <w:pPr>
        <w:spacing w:after="0" w:line="91" w:lineRule="exact"/>
        <w:rPr>
          <w:sz w:val="20"/>
          <w:szCs w:val="20"/>
          <w:color w:val="auto"/>
        </w:rPr>
      </w:pPr>
    </w:p>
    <w:p>
      <w:pPr>
        <w:ind w:right="320" w:firstLine="554"/>
        <w:spacing w:after="0" w:line="340" w:lineRule="auto"/>
        <w:rPr>
          <w:sz w:val="20"/>
          <w:szCs w:val="20"/>
          <w:color w:val="auto"/>
        </w:rPr>
      </w:pPr>
      <w:r>
        <w:rPr>
          <w:rFonts w:ascii="Arial" w:cs="Arial" w:eastAsia="Arial" w:hAnsi="Arial"/>
          <w:sz w:val="13"/>
          <w:szCs w:val="13"/>
          <w:color w:val="auto"/>
        </w:rPr>
        <w:t>Our investing activities have consisted primarily of purchases and maturities of investments, property and equipment purchases, strategic investments, and capitalization of software development costs. Capitalized software development costs are related to new products or improvements to our existing software platform that expands the functionality for our customers.</w:t>
      </w:r>
    </w:p>
    <w:p>
      <w:pPr>
        <w:spacing w:after="0" w:line="103" w:lineRule="exact"/>
        <w:rPr>
          <w:sz w:val="20"/>
          <w:szCs w:val="20"/>
          <w:color w:val="auto"/>
        </w:rPr>
      </w:pPr>
    </w:p>
    <w:p>
      <w:pPr>
        <w:ind w:right="80" w:firstLine="554"/>
        <w:spacing w:after="0" w:line="253" w:lineRule="auto"/>
        <w:rPr>
          <w:sz w:val="20"/>
          <w:szCs w:val="20"/>
          <w:color w:val="auto"/>
        </w:rPr>
      </w:pPr>
      <w:r>
        <w:rPr>
          <w:rFonts w:ascii="Arial" w:cs="Arial" w:eastAsia="Arial" w:hAnsi="Arial"/>
          <w:sz w:val="15"/>
          <w:szCs w:val="15"/>
          <w:color w:val="auto"/>
        </w:rPr>
        <w:t>Net cash and cash equivalents used in investing activities during the three months ended March 31, 2018 consisted primarily of $210.9 million purchases of investments, $6.2 million of purchased property and equipment, $2.6 million of capitalized software development costs, and $0.3 million related to the purchase of strategic investments. These uses of cash were offset by $256.3 million received related to the maturity of investments.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1390" cy="39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40"/>
          </w:cols>
          <w:pgMar w:left="220" w:top="304" w:right="239" w:bottom="1440" w:gutter="0" w:footer="0" w:header="0"/>
        </w:sectPr>
      </w:pPr>
    </w:p>
    <w:bookmarkStart w:id="27" w:name="page28"/>
    <w:bookmarkEnd w:id="27"/>
    <w:p>
      <w:pPr>
        <w:ind w:right="180" w:firstLine="554"/>
        <w:spacing w:after="0" w:line="340" w:lineRule="auto"/>
        <w:rPr>
          <w:sz w:val="20"/>
          <w:szCs w:val="20"/>
          <w:color w:val="auto"/>
        </w:rPr>
      </w:pPr>
      <w:r>
        <w:rPr>
          <w:rFonts w:ascii="Arial" w:cs="Arial" w:eastAsia="Arial" w:hAnsi="Arial"/>
          <w:sz w:val="13"/>
          <w:szCs w:val="13"/>
          <w:color w:val="auto"/>
        </w:rPr>
        <w:t>Net cash and cash equivalents used in investing activities during the three months ended March 31, 2017 consisted primarily of $16.4 million purchases of investments, $5.8 million of purchased property and equipment, and $1.6 million of capitalized software development costs. These uses of cash were offset by $15.9 million received related to the maturity of investments.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Net Cash and Cash Equivalents Provided by Financing Activities</w:t>
      </w:r>
    </w:p>
    <w:p>
      <w:pPr>
        <w:spacing w:after="0" w:line="91" w:lineRule="exact"/>
        <w:rPr>
          <w:sz w:val="20"/>
          <w:szCs w:val="20"/>
          <w:color w:val="auto"/>
        </w:rPr>
      </w:pPr>
    </w:p>
    <w:p>
      <w:pPr>
        <w:ind w:right="560" w:firstLine="520"/>
        <w:spacing w:after="0" w:line="263" w:lineRule="auto"/>
        <w:rPr>
          <w:sz w:val="20"/>
          <w:szCs w:val="20"/>
          <w:color w:val="auto"/>
        </w:rPr>
      </w:pPr>
      <w:r>
        <w:rPr>
          <w:rFonts w:ascii="Arial" w:cs="Arial" w:eastAsia="Arial" w:hAnsi="Arial"/>
          <w:sz w:val="15"/>
          <w:szCs w:val="15"/>
          <w:color w:val="auto"/>
        </w:rPr>
        <w:t>Our financing activities have consisted primarily of our stock offerings, the various components of our 2022 Notes offering, the issuance of common stock under our stock plans, payments of employee taxes related to the net share settlement of stock-based awards, and repayments of our capital lease obligations.</w:t>
      </w:r>
    </w:p>
    <w:p>
      <w:pPr>
        <w:spacing w:after="0" w:line="149" w:lineRule="exact"/>
        <w:rPr>
          <w:sz w:val="20"/>
          <w:szCs w:val="20"/>
          <w:color w:val="auto"/>
        </w:rPr>
      </w:pPr>
    </w:p>
    <w:p>
      <w:pPr>
        <w:ind w:right="60" w:firstLine="554"/>
        <w:spacing w:after="0" w:line="253" w:lineRule="auto"/>
        <w:rPr>
          <w:sz w:val="20"/>
          <w:szCs w:val="20"/>
          <w:color w:val="auto"/>
        </w:rPr>
      </w:pPr>
      <w:r>
        <w:rPr>
          <w:rFonts w:ascii="Arial" w:cs="Arial" w:eastAsia="Arial" w:hAnsi="Arial"/>
          <w:sz w:val="15"/>
          <w:szCs w:val="15"/>
          <w:color w:val="auto"/>
        </w:rPr>
        <w:t>For the three months ended March 31, 2018, cash provided by financing activities consisted primarily of $6.1 million of proceeds related to issuance of common stock under stock plans. This source of cash was offset by $2.3 million used for payment of employee taxes related to the net share settlement of stock-based awards and $0.2 million used for repayments of capital lease obligations.</w:t>
      </w:r>
    </w:p>
    <w:p>
      <w:pPr>
        <w:spacing w:after="0" w:line="157" w:lineRule="exact"/>
        <w:rPr>
          <w:sz w:val="20"/>
          <w:szCs w:val="20"/>
          <w:color w:val="auto"/>
        </w:rPr>
      </w:pPr>
    </w:p>
    <w:p>
      <w:pPr>
        <w:ind w:right="60" w:firstLine="554"/>
        <w:spacing w:after="0" w:line="253" w:lineRule="auto"/>
        <w:rPr>
          <w:sz w:val="20"/>
          <w:szCs w:val="20"/>
          <w:color w:val="auto"/>
        </w:rPr>
      </w:pPr>
      <w:r>
        <w:rPr>
          <w:rFonts w:ascii="Arial" w:cs="Arial" w:eastAsia="Arial" w:hAnsi="Arial"/>
          <w:sz w:val="15"/>
          <w:szCs w:val="15"/>
          <w:color w:val="auto"/>
        </w:rPr>
        <w:t>For the three months ended March 31, 2017, cash provided by financing activities consisted primarily of $4.3 million of proceeds related to issuance of common stock under stock plans. This source of cash was offset by $1.2 million used for payment of employee taxes related to the net share settlement of stock-based awards and $0.2 million used for repayments of capital lease obligations.</w:t>
      </w:r>
    </w:p>
    <w:p>
      <w:pPr>
        <w:spacing w:after="0" w:line="3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183" w:lineRule="exact"/>
        <w:rPr>
          <w:sz w:val="20"/>
          <w:szCs w:val="20"/>
          <w:color w:val="auto"/>
        </w:rPr>
      </w:pPr>
    </w:p>
    <w:p>
      <w:pPr>
        <w:ind w:right="20" w:firstLine="764"/>
        <w:spacing w:after="0" w:line="263" w:lineRule="auto"/>
        <w:rPr>
          <w:sz w:val="20"/>
          <w:szCs w:val="20"/>
          <w:color w:val="auto"/>
        </w:rPr>
      </w:pPr>
      <w:r>
        <w:rPr>
          <w:rFonts w:ascii="Arial" w:cs="Arial" w:eastAsia="Arial" w:hAnsi="Arial"/>
          <w:sz w:val="15"/>
          <w:szCs w:val="15"/>
          <w:color w:val="auto"/>
        </w:rPr>
        <w:t>There have been no significant changes in our critical accounting policies and estimates during the three months ended March 31, 2018 as compared to the critical accounting policies and estimates disclosed in our Annual Report on Form 10-K for the year ended December 31, 2017 except those disclosed below.</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179" w:lineRule="exact"/>
        <w:rPr>
          <w:sz w:val="20"/>
          <w:szCs w:val="20"/>
          <w:color w:val="auto"/>
        </w:rPr>
      </w:pPr>
    </w:p>
    <w:p>
      <w:pPr>
        <w:ind w:left="780"/>
        <w:spacing w:after="0"/>
        <w:rPr>
          <w:sz w:val="20"/>
          <w:szCs w:val="20"/>
          <w:color w:val="auto"/>
        </w:rPr>
      </w:pPr>
      <w:r>
        <w:rPr>
          <w:rFonts w:ascii="Arial" w:cs="Arial" w:eastAsia="Arial" w:hAnsi="Arial"/>
          <w:sz w:val="14"/>
          <w:szCs w:val="14"/>
          <w:color w:val="auto"/>
        </w:rPr>
        <w:t>On January 1, 2018, we adopted new revenue guidance using the modified retrospective method applied to contracts which were not completed as of January 1, 2018.</w:t>
      </w:r>
    </w:p>
    <w:p>
      <w:pPr>
        <w:spacing w:after="0" w:line="190" w:lineRule="exact"/>
        <w:rPr>
          <w:sz w:val="20"/>
          <w:szCs w:val="20"/>
          <w:color w:val="auto"/>
        </w:rPr>
      </w:pPr>
    </w:p>
    <w:p>
      <w:pPr>
        <w:ind w:right="40" w:firstLine="764"/>
        <w:spacing w:after="0" w:line="274" w:lineRule="auto"/>
        <w:rPr>
          <w:sz w:val="20"/>
          <w:szCs w:val="20"/>
          <w:color w:val="auto"/>
        </w:rPr>
      </w:pPr>
      <w:r>
        <w:rPr>
          <w:rFonts w:ascii="Arial" w:cs="Arial" w:eastAsia="Arial" w:hAnsi="Arial"/>
          <w:sz w:val="14"/>
          <w:szCs w:val="14"/>
          <w:color w:val="auto"/>
        </w:rPr>
        <w:t>We generate revenue from arrangements with multiple performance obligations, which typically include subscriptions to our online software solutions and professional services which include on-boarding and training services. Our customers do not have the right to take possession of the online software products. Revenue from online software products is recognized ratably over the subscription period beginning on the date the online software product is made available to customers. We recognize revenue from on-boarding and training services as the services are provided. Amounts billed that have not yet met the applicable revenue recognition criteria are recorded as deferred revenue.</w:t>
      </w:r>
    </w:p>
    <w:p>
      <w:pPr>
        <w:spacing w:after="0" w:line="142" w:lineRule="exact"/>
        <w:rPr>
          <w:sz w:val="20"/>
          <w:szCs w:val="20"/>
          <w:color w:val="auto"/>
        </w:rPr>
      </w:pPr>
    </w:p>
    <w:p>
      <w:pPr>
        <w:ind w:right="180" w:firstLine="504"/>
        <w:spacing w:after="0" w:line="248" w:lineRule="auto"/>
        <w:rPr>
          <w:sz w:val="20"/>
          <w:szCs w:val="20"/>
          <w:color w:val="auto"/>
        </w:rPr>
      </w:pPr>
      <w:r>
        <w:rPr>
          <w:rFonts w:ascii="Arial" w:cs="Arial" w:eastAsia="Arial" w:hAnsi="Arial"/>
          <w:sz w:val="15"/>
          <w:szCs w:val="15"/>
          <w:color w:val="auto"/>
        </w:rPr>
        <w:t>As part of accounting for arrangements with multiple performance obligations, we must assess whether each performance obligation we have with a customer is distinct. A good or service that is promised to a customer is distinct if the customer can benefit from the good or service either on its own or together with other resources that are readily available to the customer, and a company’s promise to transfer the good or service to the customer is separately identifiable from other promises in the contract. We have determined that subscriptions for our online software products are distinct because, once a customer has access to the online software product it purchased, the online software product is fully functional and does not require any additional development, modification, or customization. Professional services sold are distinct because the customer benefits from the on-boarding and training to make better use of the online software products it purchased.</w:t>
      </w:r>
    </w:p>
    <w:p>
      <w:pPr>
        <w:spacing w:after="0" w:line="159" w:lineRule="exact"/>
        <w:rPr>
          <w:sz w:val="20"/>
          <w:szCs w:val="20"/>
          <w:color w:val="auto"/>
        </w:rPr>
      </w:pPr>
    </w:p>
    <w:p>
      <w:pPr>
        <w:ind w:firstLine="509"/>
        <w:spacing w:after="0" w:line="269" w:lineRule="auto"/>
        <w:rPr>
          <w:sz w:val="20"/>
          <w:szCs w:val="20"/>
          <w:color w:val="auto"/>
        </w:rPr>
      </w:pPr>
      <w:r>
        <w:rPr>
          <w:rFonts w:ascii="Arial" w:cs="Arial" w:eastAsia="Arial" w:hAnsi="Arial"/>
          <w:sz w:val="14"/>
          <w:szCs w:val="14"/>
          <w:color w:val="auto"/>
        </w:rPr>
        <w:t>We allocate the transaction price to each distinct performance obligation based on the standalone selling price (“SSP”) of each good or service. We calculate SSP for each type of online software product and professional service offering by averaging the selling price of all purchases within the trailing four calendar quarters. We use four quarters of transaction data to determine SSP as most of our customer arrangements are one year or less and pricing may be subject to change upon each customer’s renewal. In instances where there are not sufficient data points, or the average selling prices for a particular online software product or professional service offering are disparate, we estimate the SSP using other observable inputs, such as similar products or services. If the actual selling price for the sale of an online software product or professional service offering within a multiple performance obligation arrangement substantially differs from the SSP of that offering, we use the relative SSP to allocate the transaction price to the performance obligations in the contract.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1390" cy="39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60"/>
          </w:cols>
          <w:pgMar w:left="220" w:top="480" w:right="219" w:bottom="1440" w:gutter="0" w:footer="0" w:header="0"/>
        </w:sectPr>
      </w:pPr>
    </w:p>
    <w:bookmarkStart w:id="28" w:name="page29"/>
    <w:bookmarkEnd w:id="28"/>
    <w:p>
      <w:pPr>
        <w:ind w:firstLine="527"/>
        <w:spacing w:after="0" w:line="249" w:lineRule="auto"/>
        <w:rPr>
          <w:sz w:val="20"/>
          <w:szCs w:val="20"/>
          <w:color w:val="auto"/>
        </w:rPr>
      </w:pPr>
      <w:r>
        <w:rPr>
          <w:rFonts w:ascii="Arial" w:cs="Arial" w:eastAsia="Arial" w:hAnsi="Arial"/>
          <w:sz w:val="15"/>
          <w:szCs w:val="15"/>
          <w:color w:val="auto"/>
        </w:rPr>
        <w:t>We pay our partners a commission based on the online software product sales price for sales to end-customers. The classification of the commission paid in our consolidated statements of operations depends on who is purchases the online software product. In instances where the customer purchases the online software product from us, we are the principal and we record the commission paid to the partner as sales and marketing expense. When the partner purchases the online software product from us, we are the agent and we net the consideration paid to the partner against the associated revenue we recognize, as in these instances our customer is the partner and our remaining obligation is to the partner. We do not believe that we receive a tangible benefit from the commission payments to our partners.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Costs to Obtain a Contract with a Customer</w:t>
      </w:r>
    </w:p>
    <w:p>
      <w:pPr>
        <w:spacing w:after="0" w:line="266" w:lineRule="exact"/>
        <w:rPr>
          <w:sz w:val="20"/>
          <w:szCs w:val="20"/>
          <w:color w:val="auto"/>
        </w:rPr>
      </w:pPr>
    </w:p>
    <w:p>
      <w:pPr>
        <w:ind w:right="60" w:firstLine="764"/>
        <w:spacing w:after="0" w:line="247" w:lineRule="auto"/>
        <w:rPr>
          <w:sz w:val="20"/>
          <w:szCs w:val="20"/>
          <w:color w:val="auto"/>
        </w:rPr>
      </w:pPr>
      <w:r>
        <w:rPr>
          <w:rFonts w:ascii="Arial" w:cs="Arial" w:eastAsia="Arial" w:hAnsi="Arial"/>
          <w:sz w:val="15"/>
          <w:szCs w:val="15"/>
          <w:color w:val="auto"/>
        </w:rPr>
        <w:t>Sales commissions earned by our sales force are considered incremental, recoverable costs of obtaining a contract with a customer. Sales commissions for initial contracts are deferred and then amortized on a straight-line basis over a period of benefit that we have determined to be approximately two to three years. The two to three-year period has been determined by taking into consideration the type of product sold, the commitment term of the customer contract, the nature of the Company’s technology development life-cycle, and an estimated customer relationship period. Sales commissions for upgrade contracts are deferred and amortized on a straight-line basis over the remaining estimated customer relationship period of the related customer. While we do not anticipate any significant changes to the two to three year amortization period, if a change did occur it could produce a material impact on our financial statements. For example, if the commitment term of our customer contracts significantly increased, our deferred commission expense asset would increase, and our amortization expense would decrease in the period in which the change occurs.</w:t>
      </w: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Contractual Obligations and Commitments</w:t>
      </w:r>
    </w:p>
    <w:p>
      <w:pPr>
        <w:spacing w:after="0" w:line="95" w:lineRule="exact"/>
        <w:rPr>
          <w:sz w:val="20"/>
          <w:szCs w:val="20"/>
          <w:color w:val="auto"/>
        </w:rPr>
      </w:pPr>
    </w:p>
    <w:p>
      <w:pPr>
        <w:ind w:right="200" w:firstLine="520"/>
        <w:spacing w:after="0" w:line="299" w:lineRule="auto"/>
        <w:rPr>
          <w:sz w:val="20"/>
          <w:szCs w:val="20"/>
          <w:color w:val="auto"/>
        </w:rPr>
      </w:pPr>
      <w:r>
        <w:rPr>
          <w:rFonts w:ascii="Arial" w:cs="Arial" w:eastAsia="Arial" w:hAnsi="Arial"/>
          <w:sz w:val="14"/>
          <w:szCs w:val="14"/>
          <w:color w:val="auto"/>
        </w:rPr>
        <w:t>As of March 31, 2018, there were no material changes in our contractual obligations and commitments from those disclosed in the Annual Report on Form 10-K filed with the SEC on February 13, 2018, other than those appearing in the notes to the consolidated financial statements appearing elsewhere in this Quarterly Report on Form 10-Q.</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Pronouncements</w:t>
      </w:r>
    </w:p>
    <w:p>
      <w:pPr>
        <w:spacing w:after="0" w:line="95" w:lineRule="exact"/>
        <w:rPr>
          <w:sz w:val="20"/>
          <w:szCs w:val="20"/>
          <w:color w:val="auto"/>
        </w:rPr>
      </w:pPr>
    </w:p>
    <w:p>
      <w:pPr>
        <w:ind w:right="40" w:firstLine="520"/>
        <w:spacing w:after="0" w:line="263" w:lineRule="auto"/>
        <w:rPr>
          <w:sz w:val="20"/>
          <w:szCs w:val="20"/>
          <w:color w:val="auto"/>
        </w:rPr>
      </w:pPr>
      <w:r>
        <w:rPr>
          <w:rFonts w:ascii="Arial" w:cs="Arial" w:eastAsia="Arial" w:hAnsi="Arial"/>
          <w:sz w:val="15"/>
          <w:szCs w:val="15"/>
          <w:color w:val="auto"/>
        </w:rPr>
        <w:t xml:space="preserve">For information on recent accounting pronouncements, see </w:t>
      </w:r>
      <w:r>
        <w:rPr>
          <w:rFonts w:ascii="Arial" w:cs="Arial" w:eastAsia="Arial" w:hAnsi="Arial"/>
          <w:sz w:val="15"/>
          <w:szCs w:val="15"/>
          <w:i w:val="1"/>
          <w:iCs w:val="1"/>
          <w:color w:val="auto"/>
        </w:rPr>
        <w:t>Recent Accounting Pronouncements</w:t>
      </w:r>
      <w:r>
        <w:rPr>
          <w:rFonts w:ascii="Arial" w:cs="Arial" w:eastAsia="Arial" w:hAnsi="Arial"/>
          <w:sz w:val="15"/>
          <w:szCs w:val="15"/>
          <w:color w:val="auto"/>
        </w:rPr>
        <w:t xml:space="preserve"> in the notes to the consolidated financial statements appearing elsewhere in this Quarterly Report on Form 10-Q.</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Off-Balance Sheet Arrangements</w:t>
      </w:r>
    </w:p>
    <w:p>
      <w:pPr>
        <w:spacing w:after="0" w:line="95" w:lineRule="exact"/>
        <w:rPr>
          <w:sz w:val="20"/>
          <w:szCs w:val="20"/>
          <w:color w:val="auto"/>
        </w:rPr>
      </w:pPr>
    </w:p>
    <w:p>
      <w:pPr>
        <w:ind w:right="580" w:firstLine="520"/>
        <w:spacing w:after="0" w:line="263" w:lineRule="auto"/>
        <w:rPr>
          <w:sz w:val="20"/>
          <w:szCs w:val="20"/>
          <w:color w:val="auto"/>
        </w:rPr>
      </w:pPr>
      <w:r>
        <w:rPr>
          <w:rFonts w:ascii="Arial" w:cs="Arial" w:eastAsia="Arial" w:hAnsi="Arial"/>
          <w:sz w:val="15"/>
          <w:szCs w:val="15"/>
          <w:color w:val="auto"/>
        </w:rPr>
        <w:t>During the three months ended March 31, 2018, we had no material off-balance sheet arrangements, exclusive of operating leases and indemnifications of officers, directors and employees for certain events or occurrences while the officer, director or employee is, or was, serving at our request in such capacity.</w:t>
      </w:r>
    </w:p>
    <w:p>
      <w:pPr>
        <w:spacing w:after="0" w:line="2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b w:val="1"/>
          <w:bCs w:val="1"/>
          <w:color w:val="auto"/>
        </w:rPr>
        <w:t>Item 3.</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95"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Foreign Currency Exchange Risk</w:t>
      </w:r>
    </w:p>
    <w:p>
      <w:pPr>
        <w:spacing w:after="0" w:line="91" w:lineRule="exact"/>
        <w:rPr>
          <w:sz w:val="20"/>
          <w:szCs w:val="20"/>
          <w:color w:val="auto"/>
        </w:rPr>
      </w:pPr>
    </w:p>
    <w:p>
      <w:pPr>
        <w:ind w:right="40" w:firstLine="554"/>
        <w:spacing w:after="0" w:line="253" w:lineRule="auto"/>
        <w:rPr>
          <w:sz w:val="20"/>
          <w:szCs w:val="20"/>
          <w:color w:val="auto"/>
        </w:rPr>
      </w:pPr>
      <w:r>
        <w:rPr>
          <w:rFonts w:ascii="Arial" w:cs="Arial" w:eastAsia="Arial" w:hAnsi="Arial"/>
          <w:sz w:val="15"/>
          <w:szCs w:val="15"/>
          <w:color w:val="auto"/>
        </w:rPr>
        <w:t>We have foreign currency risks related to our revenue and operating expenses denominated in currencies other than the U.S. dollar, primarily the Euro, British Pound Sterling, Australian dollar, Singaporean dollar, and Japanese Yen. Decreases in the relative value of the U.S. dollar to other currencies may negatively affect our revenue and other operating results as expressed in U.S. dollars.</w:t>
      </w:r>
    </w:p>
    <w:p>
      <w:pPr>
        <w:spacing w:after="0" w:line="157" w:lineRule="exact"/>
        <w:rPr>
          <w:sz w:val="20"/>
          <w:szCs w:val="20"/>
          <w:color w:val="auto"/>
        </w:rPr>
      </w:pPr>
    </w:p>
    <w:p>
      <w:pPr>
        <w:ind w:firstLine="554"/>
        <w:spacing w:after="0" w:line="301" w:lineRule="auto"/>
        <w:rPr>
          <w:sz w:val="20"/>
          <w:szCs w:val="20"/>
          <w:color w:val="auto"/>
        </w:rPr>
      </w:pPr>
      <w:r>
        <w:rPr>
          <w:rFonts w:ascii="Arial" w:cs="Arial" w:eastAsia="Arial" w:hAnsi="Arial"/>
          <w:sz w:val="13"/>
          <w:szCs w:val="13"/>
          <w:color w:val="auto"/>
        </w:rPr>
        <w:t>We have experienced and will continue to experience fluctuations in our net loss as a result of transaction gains or losses related to revaluing certain current asset and current liability balances that are denominated in currencies other than the functional currency of the entities in which they are recorded. We recognized immaterial amounts of foreign currency gains and losses in each of the periods presented. We have not engaged in the hedging of our foreign currency transactions to date, we are evaluating the costs and benefits of initiating such a program and may in the future hedge selected significant transactions denominated in currencies other than the U.S. dollar as we expand our international operation and our risk grows.</w:t>
      </w:r>
    </w:p>
    <w:p>
      <w:pPr>
        <w:spacing w:after="0" w:line="215"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Interest Rate Sensitivity</w:t>
      </w:r>
    </w:p>
    <w:p>
      <w:pPr>
        <w:spacing w:after="0" w:line="91" w:lineRule="exact"/>
        <w:rPr>
          <w:sz w:val="20"/>
          <w:szCs w:val="20"/>
          <w:color w:val="auto"/>
        </w:rPr>
      </w:pPr>
    </w:p>
    <w:p>
      <w:pPr>
        <w:ind w:right="160" w:firstLine="554"/>
        <w:spacing w:after="0" w:line="253" w:lineRule="auto"/>
        <w:rPr>
          <w:sz w:val="20"/>
          <w:szCs w:val="20"/>
          <w:color w:val="auto"/>
        </w:rPr>
      </w:pPr>
      <w:r>
        <w:rPr>
          <w:rFonts w:ascii="Arial" w:cs="Arial" w:eastAsia="Arial" w:hAnsi="Arial"/>
          <w:sz w:val="15"/>
          <w:szCs w:val="15"/>
          <w:color w:val="auto"/>
        </w:rPr>
        <w:t>Our portfolio of cash and cash equivalents and short- and long-term investments is maintained in a variety of securities, including government agency obligations, corporate bonds and money market funds. Investments are classified as available-for-sale securities and carried at their fair market value with cumulative unrealized gains or losses recorded as a component of accumulated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1390" cy="39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40"/>
          </w:cols>
          <w:pgMar w:left="220" w:top="480" w:right="239" w:bottom="1440" w:gutter="0" w:footer="0" w:header="0"/>
        </w:sectPr>
      </w:pPr>
    </w:p>
    <w:bookmarkStart w:id="29" w:name="page30"/>
    <w:bookmarkEnd w:id="29"/>
    <w:p>
      <w:pPr>
        <w:ind w:right="80"/>
        <w:spacing w:after="0" w:line="263" w:lineRule="auto"/>
        <w:rPr>
          <w:sz w:val="20"/>
          <w:szCs w:val="20"/>
          <w:color w:val="auto"/>
        </w:rPr>
      </w:pPr>
      <w:r>
        <w:rPr>
          <w:rFonts w:ascii="Arial" w:cs="Arial" w:eastAsia="Arial" w:hAnsi="Arial"/>
          <w:sz w:val="15"/>
          <w:szCs w:val="15"/>
          <w:color w:val="auto"/>
        </w:rPr>
        <w:t>other comprehensive loss within stockholders' equity. A sharp rise in interest rates could have an adverse impact on the fair market value of certain securities in our portfolio. We do not currently hedge our interest rate exposure and do not enter into financial instruments for trading or speculative purposes.</w:t>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Inflation Risk</w:t>
      </w:r>
    </w:p>
    <w:p>
      <w:pPr>
        <w:spacing w:after="0" w:line="91" w:lineRule="exact"/>
        <w:rPr>
          <w:sz w:val="20"/>
          <w:szCs w:val="20"/>
          <w:color w:val="auto"/>
        </w:rPr>
      </w:pPr>
    </w:p>
    <w:p>
      <w:pPr>
        <w:ind w:right="40" w:firstLine="554"/>
        <w:spacing w:after="0" w:line="253" w:lineRule="auto"/>
        <w:rPr>
          <w:sz w:val="20"/>
          <w:szCs w:val="20"/>
          <w:color w:val="auto"/>
        </w:rPr>
      </w:pPr>
      <w:r>
        <w:rPr>
          <w:rFonts w:ascii="Arial" w:cs="Arial" w:eastAsia="Arial" w:hAnsi="Arial"/>
          <w:sz w:val="15"/>
          <w:szCs w:val="15"/>
          <w:color w:val="auto"/>
        </w:rPr>
        <w:t>We do not believe that inflation has had a material effect on our business. However, if our costs, in particular personnel, sales and marketing and hosting costs, were to become subject to significant inflationary pressures, we may not be able to fully offset such higher costs through price increases. Our inability or failure to do so could harm our business, operating results and financial condition.</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Market Risk and Market Interest Risk</w:t>
      </w:r>
    </w:p>
    <w:p>
      <w:pPr>
        <w:spacing w:after="0" w:line="91" w:lineRule="exact"/>
        <w:rPr>
          <w:sz w:val="20"/>
          <w:szCs w:val="20"/>
          <w:color w:val="auto"/>
        </w:rPr>
      </w:pPr>
    </w:p>
    <w:p>
      <w:pPr>
        <w:ind w:firstLine="554"/>
        <w:spacing w:after="0" w:line="296" w:lineRule="auto"/>
        <w:rPr>
          <w:sz w:val="20"/>
          <w:szCs w:val="20"/>
          <w:color w:val="auto"/>
        </w:rPr>
      </w:pPr>
      <w:r>
        <w:rPr>
          <w:rFonts w:ascii="Arial" w:cs="Arial" w:eastAsia="Arial" w:hAnsi="Arial"/>
          <w:sz w:val="13"/>
          <w:szCs w:val="13"/>
          <w:color w:val="auto"/>
        </w:rPr>
        <w:t>In May 2017, we issued $400 million aggregate principal amount of 0.25% convertible senior notes due 2022. The fair value of our convertible senior notes is subject to interest rate risk, market risk and other factors due to the convertible feature. The fair value of the convertible senior notes will generally increase as our common stock price increases and will generally decrease as our common stock price declines in value. The interest and market value changes affect the fair value of our convertible senior notes but do not impact our financial position, cash flows or results of operations due to the fixed nature of the debt obligation. Generally, the fair value of 2022 Notes will increase as interest rates fall and decrease as interest rates rise. Additionally, we carry the convertible senior notes at face value less unamortized discount on our balance sheet, and we present the fair value for required disclosure purposes only.</w:t>
      </w:r>
    </w:p>
    <w:p>
      <w:pPr>
        <w:spacing w:after="0" w:line="219" w:lineRule="exact"/>
        <w:rPr>
          <w:sz w:val="20"/>
          <w:szCs w:val="20"/>
          <w:color w:val="auto"/>
        </w:rPr>
      </w:pPr>
    </w:p>
    <w:p>
      <w:pPr>
        <w:ind w:right="200" w:firstLine="554"/>
        <w:spacing w:after="0" w:line="299" w:lineRule="auto"/>
        <w:rPr>
          <w:sz w:val="20"/>
          <w:szCs w:val="20"/>
          <w:color w:val="auto"/>
        </w:rPr>
      </w:pPr>
      <w:r>
        <w:rPr>
          <w:rFonts w:ascii="Arial" w:cs="Arial" w:eastAsia="Arial" w:hAnsi="Arial"/>
          <w:sz w:val="14"/>
          <w:szCs w:val="14"/>
          <w:color w:val="auto"/>
        </w:rPr>
        <w:t>The table below provides a sensitivity analysis of hypothetical 10% changes of our stock price as of March 31, 2018 and the estimated impact on the fair value of the 2022 Notes. The selected scenarios are not predictions of future events, but rather are intended to illustrate the effect such event may have on the fair value of the 2022 Notes.</w:t>
      </w:r>
    </w:p>
    <w:p>
      <w:pPr>
        <w:spacing w:after="0" w:line="112" w:lineRule="exact"/>
        <w:rPr>
          <w:sz w:val="20"/>
          <w:szCs w:val="20"/>
          <w:color w:val="auto"/>
        </w:rPr>
      </w:pPr>
    </w:p>
    <w:tbl>
      <w:tblPr>
        <w:tblLayout w:type="fixed"/>
        <w:tblInd w:w="580" w:type="dxa"/>
        <w:tblCellMar>
          <w:top w:w="0" w:type="dxa"/>
          <w:left w:w="0" w:type="dxa"/>
          <w:bottom w:w="0" w:type="dxa"/>
          <w:right w:w="0" w:type="dxa"/>
        </w:tblCellMar>
      </w:tblPr>
      <w:tr>
        <w:trPr>
          <w:trHeight w:val="138"/>
        </w:trPr>
        <w:tc>
          <w:tcPr>
            <w:tcW w:w="37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Hypothetical percentage</w:t>
            </w:r>
          </w:p>
        </w:tc>
      </w:tr>
      <w:tr>
        <w:trPr>
          <w:trHeight w:val="121"/>
        </w:trPr>
        <w:tc>
          <w:tcPr>
            <w:tcW w:w="376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760" w:type="dxa"/>
            <w:vAlign w:val="bottom"/>
            <w:gridSpan w:val="5"/>
          </w:tcPr>
          <w:p>
            <w:pPr>
              <w:ind w:left="260"/>
              <w:spacing w:after="0" w:line="121" w:lineRule="exact"/>
              <w:rPr>
                <w:sz w:val="20"/>
                <w:szCs w:val="20"/>
                <w:color w:val="auto"/>
              </w:rPr>
            </w:pPr>
            <w:r>
              <w:rPr>
                <w:rFonts w:ascii="Arial" w:cs="Arial" w:eastAsia="Arial" w:hAnsi="Arial"/>
                <w:sz w:val="12"/>
                <w:szCs w:val="12"/>
                <w:b w:val="1"/>
                <w:bCs w:val="1"/>
                <w:color w:val="auto"/>
              </w:rPr>
              <w:t>Estimated change in fair</w:t>
            </w:r>
          </w:p>
        </w:tc>
        <w:tc>
          <w:tcPr>
            <w:tcW w:w="1540" w:type="dxa"/>
            <w:vAlign w:val="bottom"/>
            <w:gridSpan w:val="2"/>
          </w:tcPr>
          <w:p>
            <w:pPr>
              <w:jc w:val="center"/>
              <w:ind w:right="260"/>
              <w:spacing w:after="0" w:line="121" w:lineRule="exact"/>
              <w:rPr>
                <w:sz w:val="20"/>
                <w:szCs w:val="20"/>
                <w:color w:val="auto"/>
              </w:rPr>
            </w:pPr>
            <w:r>
              <w:rPr>
                <w:rFonts w:ascii="Arial" w:cs="Arial" w:eastAsia="Arial" w:hAnsi="Arial"/>
                <w:sz w:val="12"/>
                <w:szCs w:val="12"/>
                <w:b w:val="1"/>
                <w:bCs w:val="1"/>
                <w:color w:val="auto"/>
                <w:w w:val="86"/>
              </w:rPr>
              <w:t>increase (decrease) in fair</w:t>
            </w:r>
          </w:p>
        </w:tc>
      </w:tr>
      <w:tr>
        <w:trPr>
          <w:trHeight w:val="138"/>
        </w:trPr>
        <w:tc>
          <w:tcPr>
            <w:tcW w:w="37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Hypothetical change in HubSpot stock price</w:t>
            </w: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Fair value</w:t>
            </w:r>
          </w:p>
        </w:tc>
        <w:tc>
          <w:tcPr>
            <w:tcW w:w="54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1"/>
              <w:spacing w:after="0"/>
              <w:rPr>
                <w:sz w:val="20"/>
                <w:szCs w:val="20"/>
                <w:color w:val="auto"/>
              </w:rPr>
            </w:pPr>
            <w:r>
              <w:rPr>
                <w:rFonts w:ascii="Arial" w:cs="Arial" w:eastAsia="Arial" w:hAnsi="Arial"/>
                <w:sz w:val="12"/>
                <w:szCs w:val="12"/>
                <w:b w:val="1"/>
                <w:bCs w:val="1"/>
                <w:color w:val="auto"/>
              </w:rPr>
              <w:t>value</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center"/>
              <w:ind w:right="34"/>
              <w:spacing w:after="0"/>
              <w:rPr>
                <w:sz w:val="20"/>
                <w:szCs w:val="20"/>
                <w:color w:val="auto"/>
              </w:rPr>
            </w:pPr>
            <w:r>
              <w:rPr>
                <w:rFonts w:ascii="Arial" w:cs="Arial" w:eastAsia="Arial" w:hAnsi="Arial"/>
                <w:sz w:val="12"/>
                <w:szCs w:val="12"/>
                <w:b w:val="1"/>
                <w:bCs w:val="1"/>
                <w:color w:val="auto"/>
                <w:w w:val="84"/>
              </w:rPr>
              <w:t>value</w:t>
            </w:r>
          </w:p>
        </w:tc>
        <w:tc>
          <w:tcPr>
            <w:tcW w:w="140" w:type="dxa"/>
            <w:vAlign w:val="bottom"/>
            <w:tcBorders>
              <w:bottom w:val="single" w:sz="8" w:color="CCEEFF"/>
            </w:tcBorders>
          </w:tcPr>
          <w:p>
            <w:pPr>
              <w:spacing w:after="0"/>
              <w:rPr>
                <w:sz w:val="12"/>
                <w:szCs w:val="12"/>
                <w:color w:val="auto"/>
              </w:rPr>
            </w:pPr>
          </w:p>
        </w:tc>
      </w:tr>
      <w:tr>
        <w:trPr>
          <w:trHeight w:val="177"/>
        </w:trPr>
        <w:tc>
          <w:tcPr>
            <w:tcW w:w="3760" w:type="dxa"/>
            <w:vAlign w:val="bottom"/>
            <w:shd w:val="clear" w:color="auto" w:fill="CCEEFF"/>
          </w:tcPr>
          <w:p>
            <w:pPr>
              <w:spacing w:after="0"/>
              <w:rPr>
                <w:sz w:val="20"/>
                <w:szCs w:val="20"/>
                <w:color w:val="auto"/>
              </w:rPr>
            </w:pPr>
            <w:r>
              <w:rPr>
                <w:rFonts w:ascii="Arial" w:cs="Arial" w:eastAsia="Arial" w:hAnsi="Arial"/>
                <w:sz w:val="15"/>
                <w:szCs w:val="15"/>
                <w:color w:val="auto"/>
              </w:rPr>
              <w:t>10% increase</w:t>
            </w:r>
          </w:p>
        </w:tc>
        <w:tc>
          <w:tcPr>
            <w:tcW w:w="2700" w:type="dxa"/>
            <w:vAlign w:val="bottom"/>
            <w:shd w:val="clear" w:color="auto" w:fill="CCEEFF"/>
          </w:tcPr>
          <w:p>
            <w:pPr>
              <w:jc w:val="right"/>
              <w:ind w:right="1011"/>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555,809</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39,453</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7.6%</w:t>
            </w:r>
          </w:p>
        </w:tc>
      </w:tr>
      <w:tr>
        <w:trPr>
          <w:trHeight w:val="186"/>
        </w:trPr>
        <w:tc>
          <w:tcPr>
            <w:tcW w:w="3760" w:type="dxa"/>
            <w:vAlign w:val="bottom"/>
          </w:tcPr>
          <w:p>
            <w:pPr>
              <w:spacing w:after="0"/>
              <w:rPr>
                <w:sz w:val="20"/>
                <w:szCs w:val="20"/>
                <w:color w:val="auto"/>
              </w:rPr>
            </w:pPr>
            <w:r>
              <w:rPr>
                <w:rFonts w:ascii="Arial" w:cs="Arial" w:eastAsia="Arial" w:hAnsi="Arial"/>
                <w:sz w:val="15"/>
                <w:szCs w:val="15"/>
                <w:color w:val="auto"/>
              </w:rPr>
              <w:t>No change</w:t>
            </w:r>
          </w:p>
        </w:tc>
        <w:tc>
          <w:tcPr>
            <w:tcW w:w="2700" w:type="dxa"/>
            <w:vAlign w:val="bottom"/>
          </w:tcPr>
          <w:p>
            <w:pPr>
              <w:jc w:val="right"/>
              <w:ind w:right="1011"/>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w w:val="92"/>
              </w:rPr>
              <w:t>516,356</w:t>
            </w:r>
          </w:p>
        </w:tc>
        <w:tc>
          <w:tcPr>
            <w:tcW w:w="540" w:type="dxa"/>
            <w:vAlign w:val="bottom"/>
            <w:gridSpan w:val="2"/>
          </w:tcPr>
          <w:p>
            <w:pPr>
              <w:ind w:left="260"/>
              <w:spacing w:after="0"/>
              <w:rPr>
                <w:sz w:val="20"/>
                <w:szCs w:val="20"/>
                <w:color w:val="auto"/>
              </w:rPr>
            </w:pPr>
            <w:r>
              <w:rPr>
                <w:rFonts w:ascii="Arial" w:cs="Arial" w:eastAsia="Arial" w:hAnsi="Arial"/>
                <w:sz w:val="15"/>
                <w:szCs w:val="15"/>
                <w:color w:val="auto"/>
              </w:rPr>
              <w:t>$</w:t>
            </w:r>
          </w:p>
        </w:tc>
        <w:tc>
          <w:tcPr>
            <w:tcW w:w="1220" w:type="dxa"/>
            <w:vAlign w:val="bottom"/>
            <w:gridSpan w:val="3"/>
          </w:tcPr>
          <w:p>
            <w:pPr>
              <w:ind w:left="800"/>
              <w:spacing w:after="0"/>
              <w:rPr>
                <w:sz w:val="20"/>
                <w:szCs w:val="20"/>
                <w:color w:val="auto"/>
              </w:rPr>
            </w:pPr>
            <w:r>
              <w:rPr>
                <w:rFonts w:ascii="Arial" w:cs="Arial" w:eastAsia="Arial" w:hAnsi="Arial"/>
                <w:sz w:val="15"/>
                <w:szCs w:val="15"/>
                <w:color w:val="auto"/>
              </w:rPr>
              <w:t>—   $</w:t>
            </w:r>
          </w:p>
        </w:tc>
        <w:tc>
          <w:tcPr>
            <w:tcW w:w="15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r>
      <w:tr>
        <w:trPr>
          <w:trHeight w:val="186"/>
        </w:trPr>
        <w:tc>
          <w:tcPr>
            <w:tcW w:w="3760" w:type="dxa"/>
            <w:vAlign w:val="bottom"/>
            <w:shd w:val="clear" w:color="auto" w:fill="CCEEFF"/>
          </w:tcPr>
          <w:p>
            <w:pPr>
              <w:spacing w:after="0"/>
              <w:rPr>
                <w:sz w:val="20"/>
                <w:szCs w:val="20"/>
                <w:color w:val="auto"/>
              </w:rPr>
            </w:pPr>
            <w:r>
              <w:rPr>
                <w:rFonts w:ascii="Arial" w:cs="Arial" w:eastAsia="Arial" w:hAnsi="Arial"/>
                <w:sz w:val="15"/>
                <w:szCs w:val="15"/>
                <w:color w:val="auto"/>
              </w:rPr>
              <w:t>10% decrease</w:t>
            </w:r>
          </w:p>
        </w:tc>
        <w:tc>
          <w:tcPr>
            <w:tcW w:w="2700" w:type="dxa"/>
            <w:vAlign w:val="bottom"/>
            <w:shd w:val="clear" w:color="auto" w:fill="CCEEFF"/>
          </w:tcPr>
          <w:p>
            <w:pPr>
              <w:jc w:val="right"/>
              <w:ind w:right="1011"/>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476,872</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(39,484)</w:t>
            </w:r>
          </w:p>
        </w:tc>
        <w:tc>
          <w:tcPr>
            <w:tcW w:w="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-7.6%</w:t>
            </w:r>
          </w:p>
        </w:tc>
      </w:tr>
    </w:tbl>
    <w:p>
      <w:pPr>
        <w:spacing w:after="0" w:line="314"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b w:val="1"/>
          <w:bCs w:val="1"/>
          <w:color w:val="auto"/>
        </w:rPr>
        <w:t>Item 4.</w:t>
      </w:r>
      <w:r>
        <w:rPr>
          <w:sz w:val="20"/>
          <w:szCs w:val="20"/>
          <w:color w:val="auto"/>
        </w:rPr>
        <w:tab/>
      </w:r>
      <w:r>
        <w:rPr>
          <w:rFonts w:ascii="Arial" w:cs="Arial" w:eastAsia="Arial" w:hAnsi="Arial"/>
          <w:sz w:val="13"/>
          <w:szCs w:val="13"/>
          <w:b w:val="1"/>
          <w:bCs w:val="1"/>
          <w:color w:val="auto"/>
        </w:rPr>
        <w:t>Controls and Procedures</w:t>
      </w:r>
    </w:p>
    <w:p>
      <w:pPr>
        <w:spacing w:after="0" w:line="95" w:lineRule="exact"/>
        <w:rPr>
          <w:sz w:val="20"/>
          <w:szCs w:val="20"/>
          <w:color w:val="auto"/>
        </w:rPr>
      </w:pPr>
    </w:p>
    <w:p>
      <w:pPr>
        <w:ind w:right="80" w:firstLine="520"/>
        <w:spacing w:after="0" w:line="250" w:lineRule="auto"/>
        <w:rPr>
          <w:sz w:val="20"/>
          <w:szCs w:val="20"/>
          <w:color w:val="auto"/>
        </w:rPr>
      </w:pPr>
      <w:r>
        <w:rPr>
          <w:rFonts w:ascii="Arial" w:cs="Arial" w:eastAsia="Arial" w:hAnsi="Arial"/>
          <w:sz w:val="15"/>
          <w:szCs w:val="15"/>
          <w:u w:val="single" w:color="auto"/>
          <w:color w:val="auto"/>
        </w:rPr>
        <w:t>Evaluation of Disclosure Controls and Procedures</w:t>
      </w:r>
      <w:r>
        <w:rPr>
          <w:rFonts w:ascii="Arial" w:cs="Arial" w:eastAsia="Arial" w:hAnsi="Arial"/>
          <w:sz w:val="15"/>
          <w:szCs w:val="15"/>
          <w:color w:val="auto"/>
        </w:rPr>
        <w:t>. 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w:t>
      </w:r>
    </w:p>
    <w:p>
      <w:pPr>
        <w:spacing w:after="0" w:line="159" w:lineRule="exact"/>
        <w:rPr>
          <w:sz w:val="20"/>
          <w:szCs w:val="20"/>
          <w:color w:val="auto"/>
        </w:rPr>
      </w:pPr>
    </w:p>
    <w:p>
      <w:pPr>
        <w:ind w:right="240" w:firstLine="520"/>
        <w:spacing w:after="0" w:line="253" w:lineRule="auto"/>
        <w:rPr>
          <w:sz w:val="20"/>
          <w:szCs w:val="20"/>
          <w:color w:val="auto"/>
        </w:rPr>
      </w:pPr>
      <w:r>
        <w:rPr>
          <w:rFonts w:ascii="Arial" w:cs="Arial" w:eastAsia="Arial" w:hAnsi="Arial"/>
          <w:sz w:val="15"/>
          <w:szCs w:val="15"/>
          <w:u w:val="single" w:color="auto"/>
          <w:color w:val="auto"/>
        </w:rPr>
        <w:t>Changes in Internal Control Over Financial Reporting</w:t>
      </w:r>
      <w:r>
        <w:rPr>
          <w:rFonts w:ascii="Arial" w:cs="Arial" w:eastAsia="Arial" w:hAnsi="Arial"/>
          <w:sz w:val="15"/>
          <w:szCs w:val="15"/>
          <w:color w:val="auto"/>
        </w:rPr>
        <w:t>. 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spacing w:after="0" w:line="157" w:lineRule="exact"/>
        <w:rPr>
          <w:sz w:val="20"/>
          <w:szCs w:val="20"/>
          <w:color w:val="auto"/>
        </w:rPr>
      </w:pPr>
    </w:p>
    <w:p>
      <w:pPr>
        <w:ind w:right="20" w:firstLine="520"/>
        <w:spacing w:after="0" w:line="290" w:lineRule="auto"/>
        <w:rPr>
          <w:sz w:val="20"/>
          <w:szCs w:val="20"/>
          <w:color w:val="auto"/>
        </w:rPr>
      </w:pPr>
      <w:r>
        <w:rPr>
          <w:rFonts w:ascii="Arial" w:cs="Arial" w:eastAsia="Arial" w:hAnsi="Arial"/>
          <w:sz w:val="13"/>
          <w:szCs w:val="13"/>
          <w:u w:val="single" w:color="auto"/>
          <w:color w:val="auto"/>
        </w:rPr>
        <w:t>Inherent Limitations of Internal Controls</w:t>
      </w:r>
      <w:r>
        <w:rPr>
          <w:rFonts w:ascii="Arial" w:cs="Arial" w:eastAsia="Arial" w:hAnsi="Arial"/>
          <w:sz w:val="13"/>
          <w:szCs w:val="13"/>
          <w:color w:val="auto"/>
        </w:rPr>
        <w:t>. Our management, including our Chief Executive Officer and Chief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1390" cy="39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40"/>
          </w:cols>
          <w:pgMar w:left="220" w:top="392" w:right="2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5"/>
          <w:szCs w:val="15"/>
          <w:b w:val="1"/>
          <w:bCs w:val="1"/>
          <w:color w:val="auto"/>
        </w:rPr>
        <w:t>PART II</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Other Information</w:t>
      </w:r>
    </w:p>
    <w:p>
      <w:pPr>
        <w:spacing w:after="0" w:line="186"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b w:val="1"/>
          <w:bCs w:val="1"/>
          <w:color w:val="auto"/>
        </w:rPr>
        <w:t>Item 1.</w:t>
      </w:r>
      <w:r>
        <w:rPr>
          <w:sz w:val="20"/>
          <w:szCs w:val="20"/>
          <w:color w:val="auto"/>
        </w:rPr>
        <w:tab/>
      </w:r>
      <w:r>
        <w:rPr>
          <w:rFonts w:ascii="Arial" w:cs="Arial" w:eastAsia="Arial" w:hAnsi="Arial"/>
          <w:sz w:val="11"/>
          <w:szCs w:val="11"/>
          <w:b w:val="1"/>
          <w:bCs w:val="1"/>
          <w:color w:val="auto"/>
        </w:rPr>
        <w:t>Legal Proceedings</w:t>
      </w:r>
    </w:p>
    <w:p>
      <w:pPr>
        <w:spacing w:after="0" w:line="95" w:lineRule="exact"/>
        <w:rPr>
          <w:sz w:val="20"/>
          <w:szCs w:val="20"/>
          <w:color w:val="auto"/>
        </w:rPr>
      </w:pPr>
    </w:p>
    <w:p>
      <w:pPr>
        <w:ind w:right="20" w:firstLine="520"/>
        <w:spacing w:after="0" w:line="311" w:lineRule="auto"/>
        <w:rPr>
          <w:sz w:val="20"/>
          <w:szCs w:val="20"/>
          <w:color w:val="auto"/>
        </w:rPr>
      </w:pPr>
      <w:r>
        <w:rPr>
          <w:rFonts w:ascii="Arial" w:cs="Arial" w:eastAsia="Arial" w:hAnsi="Arial"/>
          <w:sz w:val="13"/>
          <w:szCs w:val="13"/>
          <w:color w:val="auto"/>
        </w:rPr>
        <w:t>From time to time we may become involved in legal proceedings or be subject to claims arising in the ordinary course of our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270"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95" w:lineRule="exact"/>
        <w:rPr>
          <w:sz w:val="20"/>
          <w:szCs w:val="20"/>
          <w:color w:val="auto"/>
        </w:rPr>
      </w:pPr>
    </w:p>
    <w:p>
      <w:pPr>
        <w:ind w:firstLine="520"/>
        <w:spacing w:after="0" w:line="248" w:lineRule="auto"/>
        <w:rPr>
          <w:sz w:val="20"/>
          <w:szCs w:val="20"/>
          <w:color w:val="auto"/>
        </w:rPr>
      </w:pPr>
      <w:r>
        <w:rPr>
          <w:rFonts w:ascii="Arial" w:cs="Arial" w:eastAsia="Arial" w:hAnsi="Arial"/>
          <w:sz w:val="15"/>
          <w:szCs w:val="15"/>
          <w:i w:val="1"/>
          <w:iCs w:val="1"/>
          <w:color w:val="auto"/>
        </w:rPr>
        <w:t>An investment in our common stock involves a high degree of risk. You should carefully consider the risks described below and the other information in this Quarterly Report on Form 10-Q and in our other public filings before making an investment decision. Our business, prospects, financial condition, or operating results could be harmed by any of these risks, as well as other risks not currently known to us or that we currently consider immaterial. If any of such risks and uncertainties actually occurs,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report and in our other public filings. The trading price of our common stock could decline due to any of these risks, and, as a result, you may lose all or part of your investment.</w:t>
      </w: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Our Business and Strategy</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history of losses and may not achieve profitability in the future.</w:t>
      </w:r>
    </w:p>
    <w:p>
      <w:pPr>
        <w:spacing w:after="0" w:line="91" w:lineRule="exact"/>
        <w:rPr>
          <w:sz w:val="20"/>
          <w:szCs w:val="20"/>
          <w:color w:val="auto"/>
        </w:rPr>
      </w:pPr>
    </w:p>
    <w:p>
      <w:pPr>
        <w:ind w:right="80" w:firstLine="520"/>
        <w:spacing w:after="0" w:line="247" w:lineRule="auto"/>
        <w:rPr>
          <w:sz w:val="20"/>
          <w:szCs w:val="20"/>
          <w:color w:val="auto"/>
        </w:rPr>
      </w:pPr>
      <w:r>
        <w:rPr>
          <w:rFonts w:ascii="Arial" w:cs="Arial" w:eastAsia="Arial" w:hAnsi="Arial"/>
          <w:sz w:val="15"/>
          <w:szCs w:val="15"/>
          <w:color w:val="auto"/>
        </w:rPr>
        <w:t>We generated net losses of $15.4 million and $8.1 million for the three months ended March 31, 2018 and 2017, respectively. As of March 31, 2018, we had an accumulated deficit of $295.7 million. We will need to generate and sustain increased revenue levels in future periods to become profitable, and, even if we do, we may not be able to maintain or increase our level of profitability. We intend to continue to expend significant funds to grow our marketing, sales and customer service operations, develop and enhance our inbound platform, scale our data center infrastructure and services capabilities and expand into new markets. Our efforts to grow our business may be more costly than we expect, and we may not be able to increase our revenue enough to offset our higher operating expenses. We may incur significant losses in the future for a number of reasons, including the other risks described in this Quarterly Report on Form 10-Q, and unforeseen expenses, difficulties, complications and delays and other unknown events. If we are unable to achieve and sustain profitability, the market price of our common stock may significantly decrease.</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dependent upon customer renewals, the addition of new customers, increased revenue from existing customers and the continued growth of the market for an inbound platform.</w:t>
      </w:r>
    </w:p>
    <w:p>
      <w:pPr>
        <w:spacing w:after="0" w:line="114" w:lineRule="exact"/>
        <w:rPr>
          <w:sz w:val="20"/>
          <w:szCs w:val="20"/>
          <w:color w:val="auto"/>
        </w:rPr>
      </w:pPr>
    </w:p>
    <w:p>
      <w:pPr>
        <w:ind w:firstLine="520"/>
        <w:spacing w:after="0" w:line="267" w:lineRule="auto"/>
        <w:rPr>
          <w:sz w:val="20"/>
          <w:szCs w:val="20"/>
          <w:color w:val="auto"/>
        </w:rPr>
      </w:pPr>
      <w:r>
        <w:rPr>
          <w:rFonts w:ascii="Arial" w:cs="Arial" w:eastAsia="Arial" w:hAnsi="Arial"/>
          <w:sz w:val="14"/>
          <w:szCs w:val="14"/>
          <w:color w:val="auto"/>
        </w:rPr>
        <w:t>We derive, and expect to continue to derive, a substantial portion of our revenue from the sale of subscriptions to our inbound platform. The market for inbound marketing, sales and customer service products is still evolving, and competitive dynamics may cause pricing levels to change as the market matures and as existing and new market participants introduce new types of point applications and different approaches to enable businesses to address their respective needs. As a result, we may be forced to reduce the prices we charge for our platform and may be unable to renew existing customer agreements or enter into new customer agreements at the same prices and upon the same terms that we have historically. In addition, our growth strategy involves a scalable pricing model (including “freemium” versions of our products) intended provide us with an opportunity to increase the value of our customer relationships over time as we expand their use of our platform, sell to other parts of their organizations, cross-sell our sales products to existing marketing product customers and vice versa through touchless or low touch in product purchases, and upsell additional offerings and features. If our cross-selling efforts are unsuccessful or if our existing customers do not expand their use of our platform or adopt additional offerings and features, our operating results may suffer.</w:t>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subscription renewal rates may decrease, and any decrease could harm our future revenue and operating results.</w:t>
      </w:r>
    </w:p>
    <w:p>
      <w:pPr>
        <w:spacing w:after="0" w:line="91" w:lineRule="exact"/>
        <w:rPr>
          <w:sz w:val="20"/>
          <w:szCs w:val="20"/>
          <w:color w:val="auto"/>
        </w:rPr>
      </w:pPr>
    </w:p>
    <w:p>
      <w:pPr>
        <w:ind w:right="20" w:firstLine="520"/>
        <w:spacing w:after="0" w:line="249" w:lineRule="auto"/>
        <w:rPr>
          <w:sz w:val="20"/>
          <w:szCs w:val="20"/>
          <w:color w:val="auto"/>
        </w:rPr>
      </w:pPr>
      <w:r>
        <w:rPr>
          <w:rFonts w:ascii="Arial" w:cs="Arial" w:eastAsia="Arial" w:hAnsi="Arial"/>
          <w:sz w:val="15"/>
          <w:szCs w:val="15"/>
          <w:color w:val="auto"/>
        </w:rPr>
        <w:t>Our customers have no obligation to renew their subscriptions for our platform after the expiration of their subscription periods, substantially all of which are one year or less. In addition, our customers may seek to renew for lower subscription amounts or for shorter contract lengths. Also, customers may choose not to renew their subscriptions for a variety of reasons, including an inability or failure on the part of a customer to create blogging, social media and other content necessary to realize the benefits of our platform. Our renewal rates may decline or fluctuate as a result of a number of factors, including limited customer resources, pricing changes, adoption and utilization of our platform and add-on applications by our customers, adoption of our new products, customer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1390" cy="39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60"/>
          </w:cols>
          <w:pgMar w:left="220" w:top="300" w:right="219" w:bottom="1440" w:gutter="0" w:footer="0" w:header="0"/>
        </w:sectPr>
      </w:pPr>
    </w:p>
    <w:bookmarkStart w:id="31" w:name="page32"/>
    <w:bookmarkEnd w:id="31"/>
    <w:p>
      <w:pPr>
        <w:ind w:right="460"/>
        <w:spacing w:after="0" w:line="263" w:lineRule="auto"/>
        <w:rPr>
          <w:sz w:val="20"/>
          <w:szCs w:val="20"/>
          <w:color w:val="auto"/>
        </w:rPr>
      </w:pPr>
      <w:r>
        <w:rPr>
          <w:rFonts w:ascii="Arial" w:cs="Arial" w:eastAsia="Arial" w:hAnsi="Arial"/>
          <w:sz w:val="15"/>
          <w:szCs w:val="15"/>
          <w:color w:val="auto"/>
        </w:rPr>
        <w:t>satisfaction with our platform, the acquisition of our customers by other companies and deteriorating general economic conditions. If our customers do not renew their subscriptions for our platform or decrease the amount they spend with us, our revenue will decline and our business will suffer.</w:t>
      </w:r>
    </w:p>
    <w:p>
      <w:pPr>
        <w:spacing w:after="0" w:line="236" w:lineRule="exact"/>
        <w:rPr>
          <w:sz w:val="20"/>
          <w:szCs w:val="20"/>
          <w:color w:val="auto"/>
        </w:rPr>
      </w:pPr>
    </w:p>
    <w:p>
      <w:pPr>
        <w:ind w:right="500"/>
        <w:spacing w:after="0" w:line="299" w:lineRule="auto"/>
        <w:rPr>
          <w:sz w:val="20"/>
          <w:szCs w:val="20"/>
          <w:color w:val="auto"/>
        </w:rPr>
      </w:pPr>
      <w:r>
        <w:rPr>
          <w:rFonts w:ascii="Arial" w:cs="Arial" w:eastAsia="Arial" w:hAnsi="Arial"/>
          <w:sz w:val="14"/>
          <w:szCs w:val="14"/>
          <w:b w:val="1"/>
          <w:bCs w:val="1"/>
          <w:i w:val="1"/>
          <w:iCs w:val="1"/>
          <w:color w:val="auto"/>
        </w:rPr>
        <w:t>We face significant competition from both established and new companies offering marketing, sales and customer service software and other related applications, as well as internally developed software, which may harm our ability to add new customers, retain existing customers and grow our business.</w:t>
      </w:r>
    </w:p>
    <w:p>
      <w:pPr>
        <w:spacing w:after="0" w:line="38" w:lineRule="exact"/>
        <w:rPr>
          <w:sz w:val="20"/>
          <w:szCs w:val="20"/>
          <w:color w:val="auto"/>
        </w:rPr>
      </w:pPr>
    </w:p>
    <w:p>
      <w:pPr>
        <w:ind w:firstLine="520"/>
        <w:spacing w:after="0" w:line="253" w:lineRule="auto"/>
        <w:rPr>
          <w:sz w:val="20"/>
          <w:szCs w:val="20"/>
          <w:color w:val="auto"/>
        </w:rPr>
      </w:pPr>
      <w:r>
        <w:rPr>
          <w:rFonts w:ascii="Arial" w:cs="Arial" w:eastAsia="Arial" w:hAnsi="Arial"/>
          <w:sz w:val="15"/>
          <w:szCs w:val="15"/>
          <w:color w:val="auto"/>
        </w:rPr>
        <w:t>The marketing, sales and customer service software market is evolving, highly competitive and significantly fragmented. With the introduction of new technologies and the potential entry of new competitors into the market, we expect competition to persist and intensify in the future, which could harm our ability to increase sales, maintain or increase renewals and maintain our prices.</w:t>
      </w:r>
    </w:p>
    <w:p>
      <w:pPr>
        <w:spacing w:after="0" w:line="157" w:lineRule="exact"/>
        <w:rPr>
          <w:sz w:val="20"/>
          <w:szCs w:val="20"/>
          <w:color w:val="auto"/>
        </w:rPr>
      </w:pPr>
    </w:p>
    <w:p>
      <w:pPr>
        <w:ind w:right="100" w:firstLine="520"/>
        <w:spacing w:after="0" w:line="271" w:lineRule="auto"/>
        <w:rPr>
          <w:sz w:val="20"/>
          <w:szCs w:val="20"/>
          <w:color w:val="auto"/>
        </w:rPr>
      </w:pPr>
      <w:r>
        <w:rPr>
          <w:rFonts w:ascii="Arial" w:cs="Arial" w:eastAsia="Arial" w:hAnsi="Arial"/>
          <w:sz w:val="14"/>
          <w:szCs w:val="14"/>
          <w:color w:val="auto"/>
        </w:rPr>
        <w:t>We face intense competition from other software companies that develop marketing, sales and customer service software and from marketing services companies that provide interactive marketing services. Competition could significantly impede our ability to sell subscriptions to our inbound marketing, sales and customer service platform on terms favorable to us. Our current and potential competitors may develop and market new technologies that render our existing or future products less competitive, or obsolete. In addition, if these competitors develop products with similar or superior functionality to our platform, we may need to decrease the prices or accept less favorable terms for our platform subscriptions in order to remain competitive. If we are unable to maintain our pricing due to competitive pressures, our margins will be reduced and our operating results will be negatively affected.</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5"/>
          <w:szCs w:val="15"/>
          <w:color w:val="auto"/>
        </w:rPr>
        <w:t>Our competitors include:</w:t>
      </w:r>
    </w:p>
    <w:p>
      <w:pPr>
        <w:spacing w:after="0" w:line="91" w:lineRule="exact"/>
        <w:rPr>
          <w:sz w:val="20"/>
          <w:szCs w:val="20"/>
          <w:color w:val="auto"/>
        </w:rPr>
      </w:pPr>
    </w:p>
    <w:p>
      <w:pPr>
        <w:ind w:left="1040" w:hanging="517"/>
        <w:spacing w:after="0"/>
        <w:tabs>
          <w:tab w:leader="none" w:pos="10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cloud-based marketing automation providers;</w:t>
      </w:r>
    </w:p>
    <w:p>
      <w:pPr>
        <w:spacing w:after="0" w:line="90" w:lineRule="exact"/>
        <w:rPr>
          <w:rFonts w:ascii="Arial" w:cs="Arial" w:eastAsia="Arial" w:hAnsi="Arial"/>
          <w:sz w:val="15"/>
          <w:szCs w:val="15"/>
          <w:color w:val="auto"/>
        </w:rPr>
      </w:pPr>
    </w:p>
    <w:p>
      <w:pPr>
        <w:ind w:left="1040" w:hanging="517"/>
        <w:spacing w:after="0"/>
        <w:tabs>
          <w:tab w:leader="none" w:pos="10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email marketing software vendors;</w:t>
      </w:r>
    </w:p>
    <w:p>
      <w:pPr>
        <w:spacing w:after="0" w:line="90" w:lineRule="exact"/>
        <w:rPr>
          <w:rFonts w:ascii="Arial" w:cs="Arial" w:eastAsia="Arial" w:hAnsi="Arial"/>
          <w:sz w:val="15"/>
          <w:szCs w:val="15"/>
          <w:color w:val="auto"/>
        </w:rPr>
      </w:pPr>
    </w:p>
    <w:p>
      <w:pPr>
        <w:ind w:left="1040" w:hanging="517"/>
        <w:spacing w:after="0"/>
        <w:tabs>
          <w:tab w:leader="none" w:pos="10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sales force automation and CRM software vendors; and</w:t>
      </w:r>
    </w:p>
    <w:p>
      <w:pPr>
        <w:spacing w:after="0" w:line="90" w:lineRule="exact"/>
        <w:rPr>
          <w:rFonts w:ascii="Arial" w:cs="Arial" w:eastAsia="Arial" w:hAnsi="Arial"/>
          <w:sz w:val="15"/>
          <w:szCs w:val="15"/>
          <w:color w:val="auto"/>
        </w:rPr>
      </w:pPr>
    </w:p>
    <w:p>
      <w:pPr>
        <w:ind w:left="1040" w:hanging="517"/>
        <w:spacing w:after="0"/>
        <w:tabs>
          <w:tab w:leader="none" w:pos="10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large-scale enterprise suites.</w:t>
      </w:r>
    </w:p>
    <w:p>
      <w:pPr>
        <w:spacing w:after="0" w:line="179" w:lineRule="exact"/>
        <w:rPr>
          <w:sz w:val="20"/>
          <w:szCs w:val="20"/>
          <w:color w:val="auto"/>
        </w:rPr>
      </w:pPr>
    </w:p>
    <w:p>
      <w:pPr>
        <w:ind w:right="60" w:firstLine="520"/>
        <w:spacing w:after="0" w:line="296" w:lineRule="auto"/>
        <w:rPr>
          <w:sz w:val="20"/>
          <w:szCs w:val="20"/>
          <w:color w:val="auto"/>
        </w:rPr>
      </w:pPr>
      <w:r>
        <w:rPr>
          <w:rFonts w:ascii="Arial" w:cs="Arial" w:eastAsia="Arial" w:hAnsi="Arial"/>
          <w:sz w:val="13"/>
          <w:szCs w:val="13"/>
          <w:color w:val="auto"/>
        </w:rPr>
        <w:t>In addition, instead of using our platform, some prospective customers may elect to combine disparate point applications, such as content management, marketing automation, CRM, analytics and social media management. We expect that new competitors, such as enterprise software vendors that have traditionally focused on enterprise resource planning or other applications supporting back office functions, will develop and introduce applications serving customer-facing and other front office functions. This development could have an adverse effect on our business, operating results and financial condition. In addition, sales force automation and CRM system vendors could acquire or develop applications that compete with our marketing software offerings. Some of these companies have acquired social media marketing and other marketing software providers to integrate with their broader offerings.</w:t>
      </w:r>
    </w:p>
    <w:p>
      <w:pPr>
        <w:spacing w:after="0" w:line="131" w:lineRule="exact"/>
        <w:rPr>
          <w:sz w:val="20"/>
          <w:szCs w:val="20"/>
          <w:color w:val="auto"/>
        </w:rPr>
      </w:pPr>
    </w:p>
    <w:p>
      <w:pPr>
        <w:ind w:firstLine="520"/>
        <w:spacing w:after="0" w:line="293" w:lineRule="auto"/>
        <w:rPr>
          <w:sz w:val="20"/>
          <w:szCs w:val="20"/>
          <w:color w:val="auto"/>
        </w:rPr>
      </w:pPr>
      <w:r>
        <w:rPr>
          <w:rFonts w:ascii="Arial" w:cs="Arial" w:eastAsia="Arial" w:hAnsi="Arial"/>
          <w:sz w:val="13"/>
          <w:szCs w:val="13"/>
          <w:color w:val="auto"/>
        </w:rPr>
        <w:t>Our current and potential competitors may have significantly more financial, technical, marketing and other resources than we have, be able to devote greater resources to the development, promotion, sale and support of their products and services, may have more extensive customer bases and broader customer relationships than we have, and may have longer operating histories and greater name recognition than we have. As a result, these competitors may respond faster to new technologies and undertake more extensive marketing campaigns for their products. In a few cases, these vendors may also be able to offer marketing, sales and customer service software at little or no additional cost by bundling it with their existing suite of applications. To the extent any of our competitors has existing relationships with potential customers for either marketing software or other applications, those customers may be unwilling to purchase our platform because of their existing relationships with our competitor. If we are unable to compete with such companies, the demand for our inbound platform could substantially decline.</w:t>
      </w:r>
    </w:p>
    <w:p>
      <w:pPr>
        <w:spacing w:after="0" w:line="134" w:lineRule="exact"/>
        <w:rPr>
          <w:sz w:val="20"/>
          <w:szCs w:val="20"/>
          <w:color w:val="auto"/>
        </w:rPr>
      </w:pPr>
    </w:p>
    <w:p>
      <w:pPr>
        <w:ind w:right="140" w:firstLine="520"/>
        <w:spacing w:after="0" w:line="250" w:lineRule="auto"/>
        <w:rPr>
          <w:sz w:val="20"/>
          <w:szCs w:val="20"/>
          <w:color w:val="auto"/>
        </w:rPr>
      </w:pPr>
      <w:r>
        <w:rPr>
          <w:rFonts w:ascii="Arial" w:cs="Arial" w:eastAsia="Arial" w:hAnsi="Arial"/>
          <w:sz w:val="15"/>
          <w:szCs w:val="15"/>
          <w:color w:val="auto"/>
        </w:rPr>
        <w:t>In addition, if one or more of our competitors were to merge or partner with another of our competitors, our ability to compete effectively could be adversely affected. Our competitors may also establish or strengthen cooperative relationships with our current or future strategic distribution and technology partners or other parties with whom we have relationships, thereby limiting our ability to promote and implement our platform. We may not be able to compete successfully against current or future competitors, and competitive pressures may harm our business, operating results and financial condition.</w:t>
      </w:r>
    </w:p>
    <w:p>
      <w:pPr>
        <w:spacing w:after="0" w:line="247"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b w:val="1"/>
          <w:bCs w:val="1"/>
          <w:i w:val="1"/>
          <w:iCs w:val="1"/>
          <w:color w:val="auto"/>
        </w:rPr>
        <w:t>We have experienced rapid growth and organizational change in recent periods and expect continued future growth. If we fail to manage our growth effectively, we may be unable to execute our business plan, maintain high levels of service or address competitive challenges adequately.</w:t>
      </w:r>
    </w:p>
    <w:p>
      <w:pPr>
        <w:spacing w:after="0" w:line="61" w:lineRule="exact"/>
        <w:rPr>
          <w:sz w:val="20"/>
          <w:szCs w:val="20"/>
          <w:color w:val="auto"/>
        </w:rPr>
      </w:pPr>
    </w:p>
    <w:p>
      <w:pPr>
        <w:ind w:right="260" w:firstLine="520"/>
        <w:spacing w:after="0" w:line="263" w:lineRule="auto"/>
        <w:rPr>
          <w:sz w:val="20"/>
          <w:szCs w:val="20"/>
          <w:color w:val="auto"/>
        </w:rPr>
      </w:pPr>
      <w:r>
        <w:rPr>
          <w:rFonts w:ascii="Arial" w:cs="Arial" w:eastAsia="Arial" w:hAnsi="Arial"/>
          <w:sz w:val="15"/>
          <w:szCs w:val="15"/>
          <w:color w:val="auto"/>
        </w:rPr>
        <w:t>Our head count and operations have grown substantially. For example, we had 2,283 full-time employees as of March 31, 2018, as compared with 2,081 as of December 31, 2017. We opened our first international office in Dublin, Ireland in January 2013, and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1390"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60"/>
          </w:cols>
          <w:pgMar w:left="220" w:top="392" w:right="219" w:bottom="1440" w:gutter="0" w:footer="0" w:header="0"/>
        </w:sectPr>
      </w:pPr>
    </w:p>
    <w:bookmarkStart w:id="32" w:name="page33"/>
    <w:bookmarkEnd w:id="32"/>
    <w:p>
      <w:pPr>
        <w:ind w:right="60"/>
        <w:spacing w:after="0" w:line="271" w:lineRule="auto"/>
        <w:rPr>
          <w:sz w:val="20"/>
          <w:szCs w:val="20"/>
          <w:color w:val="auto"/>
        </w:rPr>
      </w:pPr>
      <w:r>
        <w:rPr>
          <w:rFonts w:ascii="Arial" w:cs="Arial" w:eastAsia="Arial" w:hAnsi="Arial"/>
          <w:sz w:val="14"/>
          <w:szCs w:val="14"/>
          <w:color w:val="auto"/>
        </w:rPr>
        <w:t>additional international offices in Sydney, Australia in August 2014, in Singapore in October 2015, in Tokyo in July 2016 and in Berlin in July 2017. This growth has placed, and will continue to place, a significant strain on our management, administrative, operational and financial infrastructure. We anticipate further growth will be required to address increases in our product offerings and continued expansion. Our success will depend in part upon our ability to recruit, hire, train, manage and integrate a significant number of qualified managers, technical personnel and employees in specialized roles within our company, including in technology, sales and marketing. If our new employees perform poorly, or if we are unsuccessful in recruiting, hiring, training, managing and integrating these new employees, or retaining these or our existing employees, our business may suffer.</w:t>
      </w:r>
    </w:p>
    <w:p>
      <w:pPr>
        <w:spacing w:after="0" w:line="144" w:lineRule="exact"/>
        <w:rPr>
          <w:sz w:val="20"/>
          <w:szCs w:val="20"/>
          <w:color w:val="auto"/>
        </w:rPr>
      </w:pPr>
    </w:p>
    <w:p>
      <w:pPr>
        <w:ind w:right="40" w:firstLine="520"/>
        <w:spacing w:after="0" w:line="250" w:lineRule="auto"/>
        <w:rPr>
          <w:sz w:val="20"/>
          <w:szCs w:val="20"/>
          <w:color w:val="auto"/>
        </w:rPr>
      </w:pPr>
      <w:r>
        <w:rPr>
          <w:rFonts w:ascii="Arial" w:cs="Arial" w:eastAsia="Arial" w:hAnsi="Arial"/>
          <w:sz w:val="15"/>
          <w:szCs w:val="15"/>
          <w:color w:val="auto"/>
        </w:rPr>
        <w:t>In addition, to manage the expected continued growth of our head count, operations and geographic expansion, we will need to continue to improve our information technology infrastructure, operational, financial and management systems and procedures. Our anticipated additional head count and capital investments will increase our costs, which will make it more difficult for us to address any future revenue shortfalls by reducing expenses in the short term. If we fail to successfully manage our growth, we will be unable to successfully execute our business plan, which could have a negative impact on our business, results of operations or financial condition.</w:t>
      </w:r>
    </w:p>
    <w:p>
      <w:pPr>
        <w:spacing w:after="0" w:line="247"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b w:val="1"/>
          <w:bCs w:val="1"/>
          <w:i w:val="1"/>
          <w:iCs w:val="1"/>
          <w:color w:val="auto"/>
        </w:rPr>
        <w:t>Failure to effectively develop and expand our marketing, sales and customer service capabilities could harm our ability to increase our customer base and achieve broader market acceptance of our platform.</w:t>
      </w:r>
    </w:p>
    <w:p>
      <w:pPr>
        <w:spacing w:after="0" w:line="61" w:lineRule="exact"/>
        <w:rPr>
          <w:sz w:val="20"/>
          <w:szCs w:val="20"/>
          <w:color w:val="auto"/>
        </w:rPr>
      </w:pPr>
    </w:p>
    <w:p>
      <w:pPr>
        <w:ind w:firstLine="520"/>
        <w:spacing w:after="0" w:line="269" w:lineRule="auto"/>
        <w:rPr>
          <w:sz w:val="20"/>
          <w:szCs w:val="20"/>
          <w:color w:val="auto"/>
        </w:rPr>
      </w:pPr>
      <w:r>
        <w:rPr>
          <w:rFonts w:ascii="Arial" w:cs="Arial" w:eastAsia="Arial" w:hAnsi="Arial"/>
          <w:sz w:val="14"/>
          <w:szCs w:val="14"/>
          <w:color w:val="auto"/>
        </w:rPr>
        <w:t>To increase total customers and achieve broader market acceptance of our inbound platform, we will need to expand our marketing, sales and customer service operations, including our sales force and third-party channel partners. We will continue to dedicate significant resources to inbound sales and marketing programs. The effectiveness of our inbound sales and marketing and third-party channel partners has varied over time and may vary in the future and depends on our ability to maintain and improve our inbound platform. All of these efforts will require us to invest significant financial and other resources. Our business will be seriously harmed if our efforts do not generate a correspondingly significant increase in revenue. We may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rate of growth of our business depends on the continued participation and level of service of our marketing agency and sales partners.</w:t>
      </w:r>
    </w:p>
    <w:p>
      <w:pPr>
        <w:spacing w:after="0" w:line="91" w:lineRule="exact"/>
        <w:rPr>
          <w:sz w:val="20"/>
          <w:szCs w:val="20"/>
          <w:color w:val="auto"/>
        </w:rPr>
      </w:pPr>
    </w:p>
    <w:p>
      <w:pPr>
        <w:ind w:firstLine="520"/>
        <w:spacing w:after="0" w:line="274" w:lineRule="auto"/>
        <w:rPr>
          <w:sz w:val="20"/>
          <w:szCs w:val="20"/>
          <w:color w:val="auto"/>
        </w:rPr>
      </w:pPr>
      <w:r>
        <w:rPr>
          <w:rFonts w:ascii="Arial" w:cs="Arial" w:eastAsia="Arial" w:hAnsi="Arial"/>
          <w:sz w:val="14"/>
          <w:szCs w:val="14"/>
          <w:color w:val="auto"/>
        </w:rPr>
        <w:t>We rely on our marketing agency and sales partners to provide certain services to our customers, as well as pursue sales of our inbound platform to customers. To the extent we do not attract new marketing agency and sales partners, or existing or new marketing agency and sales partners do not refer a growing number of customers to us, our revenue and operating results would be harmed. In addition, if our marketing agency and sales partners do not continue to provide services to our customers, we would be required to provide such services ourselves either by expanding our internal team or engaging other third-party providers, which would increase our operating costs.</w:t>
      </w:r>
    </w:p>
    <w:p>
      <w:pPr>
        <w:spacing w:after="0" w:line="230" w:lineRule="exact"/>
        <w:rPr>
          <w:sz w:val="20"/>
          <w:szCs w:val="20"/>
          <w:color w:val="auto"/>
        </w:rPr>
      </w:pPr>
    </w:p>
    <w:p>
      <w:pPr>
        <w:ind w:right="180"/>
        <w:spacing w:after="0" w:line="263" w:lineRule="auto"/>
        <w:rPr>
          <w:sz w:val="20"/>
          <w:szCs w:val="20"/>
          <w:color w:val="auto"/>
        </w:rPr>
      </w:pPr>
      <w:r>
        <w:rPr>
          <w:rFonts w:ascii="Arial" w:cs="Arial" w:eastAsia="Arial" w:hAnsi="Arial"/>
          <w:sz w:val="15"/>
          <w:szCs w:val="15"/>
          <w:b w:val="1"/>
          <w:bCs w:val="1"/>
          <w:i w:val="1"/>
          <w:iCs w:val="1"/>
          <w:color w:val="auto"/>
        </w:rPr>
        <w:t>If we cannot maintain our company culture as we grow, we could lose the innovation, teamwork, passion and focus on execution that we believe contribute to our success and our business may be harmed.</w:t>
      </w:r>
    </w:p>
    <w:p>
      <w:pPr>
        <w:spacing w:after="0" w:line="61" w:lineRule="exact"/>
        <w:rPr>
          <w:sz w:val="20"/>
          <w:szCs w:val="20"/>
          <w:color w:val="auto"/>
        </w:rPr>
      </w:pPr>
    </w:p>
    <w:p>
      <w:pPr>
        <w:ind w:firstLine="520"/>
        <w:spacing w:after="0" w:line="250" w:lineRule="auto"/>
        <w:rPr>
          <w:sz w:val="20"/>
          <w:szCs w:val="20"/>
          <w:color w:val="auto"/>
        </w:rPr>
      </w:pPr>
      <w:r>
        <w:rPr>
          <w:rFonts w:ascii="Arial" w:cs="Arial" w:eastAsia="Arial" w:hAnsi="Arial"/>
          <w:sz w:val="15"/>
          <w:szCs w:val="15"/>
          <w:color w:val="auto"/>
        </w:rPr>
        <w:t>We believe that a critical component to our success has been our company culture, which is based on transparency and personal autonomy. We have invested substantial time and resources in building our team within this company culture. Any failure to preserve our culture could negatively affect our ability to retain and recruit personnel and to effectively focus on and pursue our corporate objectives. As we grow as and continue to develop the infrastructure of a public company, we may find it difficult to maintain these important aspects of our company culture. If we fail to maintain our company culture, our business may be adversely impacted.</w:t>
      </w: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maintain our inbound thought leadership position, our business may suffer.</w:t>
      </w:r>
    </w:p>
    <w:p>
      <w:pPr>
        <w:spacing w:after="0" w:line="91" w:lineRule="exact"/>
        <w:rPr>
          <w:sz w:val="20"/>
          <w:szCs w:val="20"/>
          <w:color w:val="auto"/>
        </w:rPr>
      </w:pPr>
    </w:p>
    <w:p>
      <w:pPr>
        <w:ind w:right="20" w:firstLine="520"/>
        <w:spacing w:after="0" w:line="269" w:lineRule="auto"/>
        <w:rPr>
          <w:sz w:val="20"/>
          <w:szCs w:val="20"/>
          <w:color w:val="auto"/>
        </w:rPr>
      </w:pPr>
      <w:r>
        <w:rPr>
          <w:rFonts w:ascii="Arial" w:cs="Arial" w:eastAsia="Arial" w:hAnsi="Arial"/>
          <w:sz w:val="14"/>
          <w:szCs w:val="14"/>
          <w:color w:val="auto"/>
        </w:rPr>
        <w:t>We believe that maintaining our thought leadership position in inbound marketing, sales and services is an important element in attracting new customers. We devote significant resources to develop and maintain our thought leadership position, with a focus on identifying and interpreting emerging trends in the inbound experience, shaping and guiding industry dialog and creating and sharing the best inbound practices. Our activities related to developing and maintaining our thought leadership may not yield increased revenue, and even if they do, any increased revenue may not offset the expenses we incurred in such effort. We rely upon the continued services of our management and employees with domain expertise with inbound marketing, sales and services, and the loss of any key employees in this area could harm our competitive position and reputation. If we fail to successfully grow and maintain our thought leadership position, we may not attract enough new customers or retain our existing customers, and our business could suffer.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1390" cy="39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60"/>
          </w:cols>
          <w:pgMar w:left="220" w:top="392" w:right="219" w:bottom="1440" w:gutter="0" w:footer="0" w:header="0"/>
        </w:sectPr>
      </w:pPr>
    </w:p>
    <w:bookmarkStart w:id="33" w:name="page34"/>
    <w:bookmarkEnd w:id="33"/>
    <w:p>
      <w:pPr>
        <w:spacing w:after="0"/>
        <w:rPr>
          <w:sz w:val="20"/>
          <w:szCs w:val="20"/>
          <w:color w:val="auto"/>
        </w:rPr>
      </w:pPr>
      <w:r>
        <w:rPr>
          <w:rFonts w:ascii="Arial" w:cs="Arial" w:eastAsia="Arial" w:hAnsi="Arial"/>
          <w:sz w:val="11"/>
          <w:szCs w:val="11"/>
          <w:b w:val="1"/>
          <w:bCs w:val="1"/>
          <w:i w:val="1"/>
          <w:iCs w:val="1"/>
          <w:color w:val="auto"/>
        </w:rPr>
        <w:t>If we fail to further enhance our brand and maintain our existing strong brand awareness, our ability to expand our customer base will be impaired and our financial condition may suffer.</w:t>
      </w:r>
    </w:p>
    <w:p>
      <w:pPr>
        <w:spacing w:after="0" w:line="137" w:lineRule="exact"/>
        <w:rPr>
          <w:sz w:val="20"/>
          <w:szCs w:val="20"/>
          <w:color w:val="auto"/>
        </w:rPr>
      </w:pPr>
    </w:p>
    <w:p>
      <w:pPr>
        <w:ind w:right="20" w:firstLine="520"/>
        <w:spacing w:after="0" w:line="271" w:lineRule="auto"/>
        <w:rPr>
          <w:sz w:val="20"/>
          <w:szCs w:val="20"/>
          <w:color w:val="auto"/>
        </w:rPr>
      </w:pPr>
      <w:r>
        <w:rPr>
          <w:rFonts w:ascii="Arial" w:cs="Arial" w:eastAsia="Arial" w:hAnsi="Arial"/>
          <w:sz w:val="14"/>
          <w:szCs w:val="14"/>
          <w:color w:val="auto"/>
        </w:rPr>
        <w:t>We believe that our development of the HubSpot brand is critical to achieving widespread awareness of our existing and future inbound experience solutions, and, as a result, is important to attracting new customers and maintaining existing customers. In the past, our efforts to build our brand have involved significant expenses, and we believe that this investment has resulted in strong brand recognition in the B2B market. Successful promotion and maintenance of our brands will depend largely on the effectiveness of our marketing efforts and on our ability to provide a reliable and useful inbound platform at competitive prices. Brand promotion activities may not yield increased revenue, and even if they do, any increased revenue may not offset the expenses we incurred in building our brand. If we fail to successfully promote and maintain our brand, our business could suffer.</w:t>
      </w:r>
    </w:p>
    <w:p>
      <w:pPr>
        <w:spacing w:after="0" w:line="232"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b w:val="1"/>
          <w:bCs w:val="1"/>
          <w:i w:val="1"/>
          <w:iCs w:val="1"/>
          <w:color w:val="auto"/>
        </w:rPr>
        <w:t>If we fail to adapt and respond effectively to rapidly changing technology, evolving industry standards and changing customer needs or requirements, our inbound platform may become less competitive.</w:t>
      </w:r>
    </w:p>
    <w:p>
      <w:pPr>
        <w:spacing w:after="0" w:line="61" w:lineRule="exact"/>
        <w:rPr>
          <w:sz w:val="20"/>
          <w:szCs w:val="20"/>
          <w:color w:val="auto"/>
        </w:rPr>
      </w:pPr>
    </w:p>
    <w:p>
      <w:pPr>
        <w:ind w:right="20" w:firstLine="520"/>
        <w:spacing w:after="0" w:line="293" w:lineRule="auto"/>
        <w:rPr>
          <w:sz w:val="20"/>
          <w:szCs w:val="20"/>
          <w:color w:val="auto"/>
        </w:rPr>
      </w:pPr>
      <w:r>
        <w:rPr>
          <w:rFonts w:ascii="Arial" w:cs="Arial" w:eastAsia="Arial" w:hAnsi="Arial"/>
          <w:sz w:val="13"/>
          <w:szCs w:val="13"/>
          <w:color w:val="auto"/>
        </w:rPr>
        <w:t>Our future success depends on our ability to adapt and innovate our inbound platform. To attract new customers and increase revenue from existing customers, we need to continue to enhance and improve our offerings to meet customer needs at prices that our customers are willing to pay. Such efforts will require adding new functionality and responding to technological advancements, which will increase our research and development costs. If we are unable to develop new applications that address our customers’ needs, or to enhance and improve our platform in a timely manner, we may not be able to maintain or increase market acceptance of our platform. Our ability to grow is also subject to the risk of future disruptive technologies. Access and use of our inbound platform is provided via the cloud, which, itself, was disruptive to the previous enterprise software model. If new technologies emerge that are able to deliver inbound marketing software and related applications at lower prices, more efficiently, more conveniently or more securely, such technologies could adversely affect our ability to compete.</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rely on our management team and other key employees, and the loss of one or more key employees could harm our business.</w:t>
      </w:r>
    </w:p>
    <w:p>
      <w:pPr>
        <w:spacing w:after="0" w:line="91" w:lineRule="exact"/>
        <w:rPr>
          <w:sz w:val="20"/>
          <w:szCs w:val="20"/>
          <w:color w:val="auto"/>
        </w:rPr>
      </w:pPr>
    </w:p>
    <w:p>
      <w:pPr>
        <w:ind w:firstLine="520"/>
        <w:spacing w:after="0" w:line="296" w:lineRule="auto"/>
        <w:rPr>
          <w:sz w:val="20"/>
          <w:szCs w:val="20"/>
          <w:color w:val="auto"/>
        </w:rPr>
      </w:pPr>
      <w:r>
        <w:rPr>
          <w:rFonts w:ascii="Arial" w:cs="Arial" w:eastAsia="Arial" w:hAnsi="Arial"/>
          <w:sz w:val="13"/>
          <w:szCs w:val="13"/>
          <w:color w:val="auto"/>
        </w:rPr>
        <w:t>Our success and future growth depend upon the continued services of our management team, including our co-founders, Brian Halligan and Dharmesh Shah, and other key employees in the areas of research and development, marketing, sales, services and general and administrative functions. From time to time, there may be changes in our management team resulting from the hiring or departure of executives, which could disrupt our business. We also are dependent on the continued service of our existing software engineers and information technology personnel because of the complexity of our platform, technologies and infrastructure. We may terminate any employee’s employment at any time, with or without cause, and any employee may resign at any time, with or without cause. We do not have employment agreements with any of our key personnel. The loss of one or more of our key employees could harm our business.</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failure to attract and retain additional qualified personnel could prevent us from executing our business strategy.</w:t>
      </w:r>
    </w:p>
    <w:p>
      <w:pPr>
        <w:spacing w:after="0" w:line="91" w:lineRule="exact"/>
        <w:rPr>
          <w:sz w:val="20"/>
          <w:szCs w:val="20"/>
          <w:color w:val="auto"/>
        </w:rPr>
      </w:pPr>
    </w:p>
    <w:p>
      <w:pPr>
        <w:ind w:right="40" w:firstLine="520"/>
        <w:spacing w:after="0" w:line="290" w:lineRule="auto"/>
        <w:rPr>
          <w:sz w:val="20"/>
          <w:szCs w:val="20"/>
          <w:color w:val="auto"/>
        </w:rPr>
      </w:pPr>
      <w:r>
        <w:rPr>
          <w:rFonts w:ascii="Arial" w:cs="Arial" w:eastAsia="Arial" w:hAnsi="Arial"/>
          <w:sz w:val="13"/>
          <w:szCs w:val="13"/>
          <w:color w:val="auto"/>
        </w:rPr>
        <w:t>To execute our business strategy, we must attract and retain highly qualified personnel. In particular, we compete with many other companies for software developers with high levels of experience in designing, developing and managing cloud-based software, as well as for skilled information technology, marketing, sales and operations professionals, and we may not be successful in attracting and retaining the professionals we need. Also, inbound sales, marketing and services domain experts are very important to our success and are difficult to replace. We have from time to time in the past experienced, and we expect to continue to experience in the future, difficulty in hiring and difficulty in retaining highly skilled employees with appropriate qualifications. In particular, we have experienced a competitive hiring environment in the Greater Boston area, where we are headquartered. Many of the companies with which we compete for experienced personnel have greater resources than we do. In addition, in making employment decisions, particularly in the software industry, job candidates often consider the value of the stock options or other equity incentives they are to receive in connection with their employment. If the price of our stock declines, or experiences significant volatility, our ability to attract or retain key employees will be adversely affected. If we fail to attract new personnel or fail to retain and motivate our current personnel, our growth prospects could be severely harmed.</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offer high-quality customer support, our business and reputation may suffer.</w:t>
      </w:r>
    </w:p>
    <w:p>
      <w:pPr>
        <w:spacing w:after="0" w:line="91" w:lineRule="exact"/>
        <w:rPr>
          <w:sz w:val="20"/>
          <w:szCs w:val="20"/>
          <w:color w:val="auto"/>
        </w:rPr>
      </w:pPr>
    </w:p>
    <w:p>
      <w:pPr>
        <w:ind w:right="40" w:firstLine="520"/>
        <w:spacing w:after="0" w:line="296" w:lineRule="auto"/>
        <w:rPr>
          <w:sz w:val="20"/>
          <w:szCs w:val="20"/>
          <w:color w:val="auto"/>
        </w:rPr>
      </w:pPr>
      <w:r>
        <w:rPr>
          <w:rFonts w:ascii="Arial" w:cs="Arial" w:eastAsia="Arial" w:hAnsi="Arial"/>
          <w:sz w:val="13"/>
          <w:szCs w:val="13"/>
          <w:color w:val="auto"/>
        </w:rPr>
        <w:t>High-quality education, training and customer support are important for the successful marketing, sale and use of our inbound platform and for the renewal of existing customers. Providing this education, training and support requires that our personnel who manage our online training resource, HubSpot Academy, or provide customer support have specific inbound experience domain knowledge and expertise, making it more difficult for us to hire qualified personnel and to scale up our support operations. The importance of high-quality customer support will increase as we expand our business and pursue new customers. If we do not help our customers use multiple applications within our inbound platform and provide effective ongoing support, our ability to sell additional functionality and services to, or to retain, existing customers may suffer and our reputation with existing or potential customers may be harmed.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1390" cy="39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40"/>
          </w:cols>
          <w:pgMar w:left="220" w:top="568" w:right="239" w:bottom="1440" w:gutter="0" w:footer="0" w:header="0"/>
        </w:sectPr>
      </w:pPr>
    </w:p>
    <w:bookmarkStart w:id="34" w:name="page35"/>
    <w:bookmarkEnd w:id="34"/>
    <w:p>
      <w:pPr>
        <w:spacing w:after="0"/>
        <w:rPr>
          <w:sz w:val="20"/>
          <w:szCs w:val="20"/>
          <w:color w:val="auto"/>
        </w:rPr>
      </w:pPr>
      <w:r>
        <w:rPr>
          <w:rFonts w:ascii="Arial" w:cs="Arial" w:eastAsia="Arial" w:hAnsi="Arial"/>
          <w:sz w:val="13"/>
          <w:szCs w:val="13"/>
          <w:b w:val="1"/>
          <w:bCs w:val="1"/>
          <w:i w:val="1"/>
          <w:iCs w:val="1"/>
          <w:color w:val="auto"/>
        </w:rPr>
        <w:t>We may not be able to scale our business quickly enough to meet our customers’ growing needs and if we are not able to grow efficiently, our operating results could be harmed.</w:t>
      </w:r>
    </w:p>
    <w:p>
      <w:pPr>
        <w:spacing w:after="0" w:line="114" w:lineRule="exact"/>
        <w:rPr>
          <w:sz w:val="20"/>
          <w:szCs w:val="20"/>
          <w:color w:val="auto"/>
        </w:rPr>
      </w:pPr>
    </w:p>
    <w:p>
      <w:pPr>
        <w:ind w:right="40" w:firstLine="520"/>
        <w:spacing w:after="0" w:line="289" w:lineRule="auto"/>
        <w:rPr>
          <w:sz w:val="20"/>
          <w:szCs w:val="20"/>
          <w:color w:val="auto"/>
        </w:rPr>
      </w:pPr>
      <w:r>
        <w:rPr>
          <w:rFonts w:ascii="Arial" w:cs="Arial" w:eastAsia="Arial" w:hAnsi="Arial"/>
          <w:sz w:val="13"/>
          <w:szCs w:val="13"/>
          <w:color w:val="auto"/>
        </w:rPr>
        <w:t>As usage of our inbound platform grows and as customers use our platform for additional inbound applications, such as sales and services, we will need to devote additional resources to improving our application architecture, integrating with third-party systems and maintaining infrastructure performance. In addition, we will need to appropriately scale our internal business systems and our services organization, including customer support and professional services, to serve our growing customer base, particularly as our customer demographics change over time. Any failure of or delay in these efforts could cause impaired system performance and reduced customer satisfaction. These issues could reduce the attractiveness of our inbound platform to customers, resulting in decreased sales to new customers, lower renewal rates by existing customers, the issuance of service credits, or requested refunds, which could impede our revenue growth and harm our reputation. Even if we are able to upgrade our systems and expand our staff,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These efforts may reduce revenue and our margins and adversely affect our financial results.</w:t>
      </w:r>
    </w:p>
    <w:p>
      <w:pPr>
        <w:spacing w:after="0" w:line="223"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b w:val="1"/>
          <w:bCs w:val="1"/>
          <w:i w:val="1"/>
          <w:iCs w:val="1"/>
          <w:color w:val="auto"/>
        </w:rPr>
        <w:t>Our ability to introduce new products and features is dependent on adequate research and development resources. If we do not adequately fund our research and development efforts, we may not be able to compete effectively and our business and operating results may be harmed.</w:t>
      </w:r>
    </w:p>
    <w:p>
      <w:pPr>
        <w:spacing w:after="0" w:line="61" w:lineRule="exact"/>
        <w:rPr>
          <w:sz w:val="20"/>
          <w:szCs w:val="20"/>
          <w:color w:val="auto"/>
        </w:rPr>
      </w:pPr>
    </w:p>
    <w:p>
      <w:pPr>
        <w:ind w:right="20" w:firstLine="520"/>
        <w:spacing w:after="0" w:line="248" w:lineRule="auto"/>
        <w:rPr>
          <w:sz w:val="20"/>
          <w:szCs w:val="20"/>
          <w:color w:val="auto"/>
        </w:rPr>
      </w:pPr>
      <w:r>
        <w:rPr>
          <w:rFonts w:ascii="Arial" w:cs="Arial" w:eastAsia="Arial" w:hAnsi="Arial"/>
          <w:sz w:val="15"/>
          <w:szCs w:val="15"/>
          <w:color w:val="auto"/>
        </w:rPr>
        <w:t>To remain competitive, we must continue to develop new product offerings, applications, features and enhancements to our existing inbound platform. Maintaining adequate research and development personnel and resources to meet the demands of the market is essential. If we are unable to develop our platform internally due to certain constraints, such as high employee turnover, lack of management ability or a lack of other research and development resources, we may miss market opportunities. Further, many of our competitors expend a considerably greater amount of funds on their research and development programs, and those that do not may be acquired by larger companies that would allocate greater resources to our competitors’ research and development programs. Our failure to maintain adequate research and development resources or to compete effectively with the research and development programs of our competitors could materially adversely affect our business.</w:t>
      </w:r>
    </w:p>
    <w:p>
      <w:pPr>
        <w:spacing w:after="0" w:line="247" w:lineRule="exact"/>
        <w:rPr>
          <w:sz w:val="20"/>
          <w:szCs w:val="20"/>
          <w:color w:val="auto"/>
        </w:rPr>
      </w:pPr>
    </w:p>
    <w:p>
      <w:pPr>
        <w:ind w:right="300"/>
        <w:spacing w:after="0" w:line="263" w:lineRule="auto"/>
        <w:rPr>
          <w:sz w:val="20"/>
          <w:szCs w:val="20"/>
          <w:color w:val="auto"/>
        </w:rPr>
      </w:pPr>
      <w:r>
        <w:rPr>
          <w:rFonts w:ascii="Arial" w:cs="Arial" w:eastAsia="Arial" w:hAnsi="Arial"/>
          <w:sz w:val="15"/>
          <w:szCs w:val="15"/>
          <w:b w:val="1"/>
          <w:bCs w:val="1"/>
          <w:i w:val="1"/>
          <w:iCs w:val="1"/>
          <w:color w:val="auto"/>
        </w:rPr>
        <w:t>Changes in the sizes or types of businesses that purchase our platform or in the applications within our inbound platform purchased or used by our customers could negatively affect our operating results.</w:t>
      </w:r>
    </w:p>
    <w:p>
      <w:pPr>
        <w:spacing w:after="0" w:line="61" w:lineRule="exact"/>
        <w:rPr>
          <w:sz w:val="20"/>
          <w:szCs w:val="20"/>
          <w:color w:val="auto"/>
        </w:rPr>
      </w:pPr>
    </w:p>
    <w:p>
      <w:pPr>
        <w:ind w:right="40" w:firstLine="520"/>
        <w:spacing w:after="0" w:line="271" w:lineRule="auto"/>
        <w:rPr>
          <w:sz w:val="20"/>
          <w:szCs w:val="20"/>
          <w:color w:val="auto"/>
        </w:rPr>
      </w:pPr>
      <w:r>
        <w:rPr>
          <w:rFonts w:ascii="Arial" w:cs="Arial" w:eastAsia="Arial" w:hAnsi="Arial"/>
          <w:sz w:val="14"/>
          <w:szCs w:val="14"/>
          <w:color w:val="auto"/>
        </w:rPr>
        <w:t>Our strategy is to sell subscriptions to our inbound platform to mid-sized businesses, but we have sold and will continue to sell to organizations ranging from small businesses to enterprises. Our gross margins can vary depending on numerous factors related to the implementation and use of our inbound platform, including the sophistication and intensity of our customers’ use of our platform and the level of professional services and support required by a customer. Sales to enterprise customers may entail longer sales cycles and more significant selling efforts. Selling to small businesses may involve greater credit risk and uncertainty. If there are changes in the mix of businesses that purchase our platform or the mix of the product plans purchased by our customers, our gross margins could decrease and our operating results could be adversely affected.</w:t>
      </w:r>
    </w:p>
    <w:p>
      <w:pPr>
        <w:spacing w:after="0" w:line="232" w:lineRule="exact"/>
        <w:rPr>
          <w:sz w:val="20"/>
          <w:szCs w:val="20"/>
          <w:color w:val="auto"/>
        </w:rPr>
      </w:pPr>
    </w:p>
    <w:p>
      <w:pPr>
        <w:ind w:right="680"/>
        <w:spacing w:after="0" w:line="299" w:lineRule="auto"/>
        <w:rPr>
          <w:sz w:val="20"/>
          <w:szCs w:val="20"/>
          <w:color w:val="auto"/>
        </w:rPr>
      </w:pPr>
      <w:r>
        <w:rPr>
          <w:rFonts w:ascii="Arial" w:cs="Arial" w:eastAsia="Arial" w:hAnsi="Arial"/>
          <w:sz w:val="14"/>
          <w:szCs w:val="14"/>
          <w:b w:val="1"/>
          <w:bCs w:val="1"/>
          <w:i w:val="1"/>
          <w:iCs w:val="1"/>
          <w:color w:val="auto"/>
        </w:rPr>
        <w:t>We have in the past completed acquisitions and may acquire or invest in other companies or technologies in the future, which could divert management’s attention, fail to meet our expectations, result in additional dilution to our stockholders, increase expenses, disrupt our operations or harm our operating results.</w:t>
      </w:r>
    </w:p>
    <w:p>
      <w:pPr>
        <w:spacing w:after="0" w:line="38" w:lineRule="exact"/>
        <w:rPr>
          <w:sz w:val="20"/>
          <w:szCs w:val="20"/>
          <w:color w:val="auto"/>
        </w:rPr>
      </w:pPr>
    </w:p>
    <w:p>
      <w:pPr>
        <w:jc w:val="both"/>
        <w:ind w:right="140" w:firstLine="520"/>
        <w:spacing w:after="0" w:line="311" w:lineRule="auto"/>
        <w:rPr>
          <w:sz w:val="20"/>
          <w:szCs w:val="20"/>
          <w:color w:val="auto"/>
        </w:rPr>
      </w:pPr>
      <w:r>
        <w:rPr>
          <w:rFonts w:ascii="Arial" w:cs="Arial" w:eastAsia="Arial" w:hAnsi="Arial"/>
          <w:sz w:val="13"/>
          <w:szCs w:val="13"/>
          <w:color w:val="auto"/>
        </w:rPr>
        <w:t>We have in the past acquired, and we may in the future acquire or invest in, businesses, products or technologies that we believe could complement or expand our platform, enhance our technical capabilities or otherwise offer growth opportunities. We may not be able to fully realize the anticipated benefits of these or any future acquisitions. The pursuit of potential acquisitions may divert the attention of management and cause us to incur various expenses related to identifying, investigating and pursuing suitable acquisitions, whether or not they are consummated.</w:t>
      </w:r>
    </w:p>
    <w:p>
      <w:pPr>
        <w:spacing w:after="0" w:line="121" w:lineRule="exact"/>
        <w:rPr>
          <w:sz w:val="20"/>
          <w:szCs w:val="20"/>
          <w:color w:val="auto"/>
        </w:rPr>
      </w:pPr>
    </w:p>
    <w:p>
      <w:pPr>
        <w:ind w:firstLine="520"/>
        <w:spacing w:after="0" w:line="269" w:lineRule="auto"/>
        <w:rPr>
          <w:sz w:val="20"/>
          <w:szCs w:val="20"/>
          <w:color w:val="auto"/>
        </w:rPr>
      </w:pPr>
      <w:r>
        <w:rPr>
          <w:rFonts w:ascii="Arial" w:cs="Arial" w:eastAsia="Arial" w:hAnsi="Arial"/>
          <w:sz w:val="14"/>
          <w:szCs w:val="14"/>
          <w:color w:val="auto"/>
        </w:rPr>
        <w:t>There are inherent risks in integrating and managing acquisitions. If we acquire additional businesses, we may not be able to assimilate or integrate the acquired personnel, operations and technologies successfully or effectively manage the combined business following the acquisition and our management may be distracted from operating our business. We also may not achieve the anticipated benefits from the acquired business due to a number of factors, including: unanticipated costs or liabilities associated with the acquisition; incurrence of acquisition-related costs, which would be recognized as a current period expense; inability to generate sufficient revenue to offset acquisition or investment costs; the inability to maintain relationships with customers and partners of the acquired business; the difficulty of incorporating acquired technology and rights into our platform and of maintaining quality and security standards consistent with our brand; delays in customer purchases due to uncertainty related to any acquisition; the need to</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1390" cy="39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60"/>
          </w:cols>
          <w:pgMar w:left="220" w:top="568" w:right="219" w:bottom="1440" w:gutter="0" w:footer="0" w:header="0"/>
        </w:sectPr>
      </w:pPr>
    </w:p>
    <w:bookmarkStart w:id="35" w:name="page36"/>
    <w:bookmarkEnd w:id="35"/>
    <w:p>
      <w:pPr>
        <w:spacing w:after="0" w:line="267" w:lineRule="auto"/>
        <w:rPr>
          <w:sz w:val="20"/>
          <w:szCs w:val="20"/>
          <w:color w:val="auto"/>
        </w:rPr>
      </w:pPr>
      <w:r>
        <w:rPr>
          <w:rFonts w:ascii="Arial" w:cs="Arial" w:eastAsia="Arial" w:hAnsi="Arial"/>
          <w:sz w:val="14"/>
          <w:szCs w:val="14"/>
          <w:color w:val="auto"/>
        </w:rPr>
        <w:t>integrate or implement additional controls, procedures and policies; challenges caused by distance, language and cultural differences; harm to our existing business relationships with business partners and customers as a result of the acquisition; the potential loss of key employees; use of resources that are needed in other parts of our business and diversion of management and employee resources; the inability to recognize acquired deferred revenue in accordance with our revenue recognition policies; and use of substantial portions of our available cash or the incurrence of debt to consummate the acquisition. Acquisitions also increase the risk of unforeseen legal liability, including for potential violations of applicable law or industry rules and regulations, arising from prior or ongoing acts or omissions by the acquired businesses which are not discovered by due diligence during the acquisition process. Generally, if an acquired business fails to meet our expectations, our operating results, business and financial condition may suffer. Acquisitions could also result in dilutive issuances of equity securities or the incurrence of debt, which could adversely affect our business, results of operations or financial condition.</w:t>
      </w:r>
    </w:p>
    <w:p>
      <w:pPr>
        <w:spacing w:after="0" w:line="150" w:lineRule="exact"/>
        <w:rPr>
          <w:sz w:val="20"/>
          <w:szCs w:val="20"/>
          <w:color w:val="auto"/>
        </w:rPr>
      </w:pPr>
    </w:p>
    <w:p>
      <w:pPr>
        <w:ind w:right="80" w:firstLine="520"/>
        <w:spacing w:after="0" w:line="253" w:lineRule="auto"/>
        <w:rPr>
          <w:sz w:val="20"/>
          <w:szCs w:val="20"/>
          <w:color w:val="auto"/>
        </w:rPr>
      </w:pPr>
      <w:r>
        <w:rPr>
          <w:rFonts w:ascii="Arial" w:cs="Arial" w:eastAsia="Arial" w:hAnsi="Arial"/>
          <w:sz w:val="15"/>
          <w:szCs w:val="15"/>
          <w:color w:val="auto"/>
        </w:rPr>
        <w:t>In addition, a significant portion of the purchase price of companies we acquire may be allocated to goodwill and other intangible assets, which must be assessed for impairment at least annually. If our acquisitions do not ultimately yield expected returns, we may be required to make charges to our operating results based on our impairment assessment process, which could harm our results of operations.</w:t>
      </w:r>
    </w:p>
    <w:p>
      <w:pPr>
        <w:spacing w:after="0" w:line="244" w:lineRule="exact"/>
        <w:rPr>
          <w:sz w:val="20"/>
          <w:szCs w:val="20"/>
          <w:color w:val="auto"/>
        </w:rPr>
      </w:pPr>
    </w:p>
    <w:p>
      <w:pPr>
        <w:ind w:right="200"/>
        <w:spacing w:after="0" w:line="263" w:lineRule="auto"/>
        <w:rPr>
          <w:sz w:val="20"/>
          <w:szCs w:val="20"/>
          <w:color w:val="auto"/>
        </w:rPr>
      </w:pPr>
      <w:r>
        <w:rPr>
          <w:rFonts w:ascii="Arial" w:cs="Arial" w:eastAsia="Arial" w:hAnsi="Arial"/>
          <w:sz w:val="15"/>
          <w:szCs w:val="15"/>
          <w:b w:val="1"/>
          <w:bCs w:val="1"/>
          <w:i w:val="1"/>
          <w:iCs w:val="1"/>
          <w:color w:val="auto"/>
        </w:rPr>
        <w:t>Because our long-term growth strategy involves further expansion of our sales to customers outside the United States, our business will be susceptible to risks associated with international operations.</w:t>
      </w:r>
    </w:p>
    <w:p>
      <w:pPr>
        <w:spacing w:after="0" w:line="61" w:lineRule="exact"/>
        <w:rPr>
          <w:sz w:val="20"/>
          <w:szCs w:val="20"/>
          <w:color w:val="auto"/>
        </w:rPr>
      </w:pPr>
    </w:p>
    <w:p>
      <w:pPr>
        <w:ind w:firstLine="520"/>
        <w:spacing w:after="0" w:line="250" w:lineRule="auto"/>
        <w:rPr>
          <w:sz w:val="20"/>
          <w:szCs w:val="20"/>
          <w:color w:val="auto"/>
        </w:rPr>
      </w:pPr>
      <w:r>
        <w:rPr>
          <w:rFonts w:ascii="Arial" w:cs="Arial" w:eastAsia="Arial" w:hAnsi="Arial"/>
          <w:sz w:val="15"/>
          <w:szCs w:val="15"/>
          <w:color w:val="auto"/>
        </w:rPr>
        <w:t>A component of our growth strategy involves the further expansion of our operations and customer base internationally. We opened our first international office in Dublin, Ireland in January 2013 and we opened additional international offices in Sydney, Australia in August 2014, in Singapore in October 2015, in Tokyo in July 2016, and in Berlin in July 2017. These international offices focus primarily on sales, professional services and support. We also have a development team in Dublin, Ireland. Our current international operations and future initiatives will involve a variety of risks, including:</w:t>
      </w:r>
    </w:p>
    <w:p>
      <w:pPr>
        <w:spacing w:after="0" w:line="71" w:lineRule="exact"/>
        <w:rPr>
          <w:sz w:val="20"/>
          <w:szCs w:val="20"/>
          <w:color w:val="auto"/>
        </w:rPr>
      </w:pPr>
    </w:p>
    <w:p>
      <w:pPr>
        <w:ind w:left="1040" w:hanging="517"/>
        <w:spacing w:after="0"/>
        <w:tabs>
          <w:tab w:leader="none" w:pos="10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difficulties in maintaining our company culture with a dispersed and distant workforce;</w:t>
      </w:r>
    </w:p>
    <w:p>
      <w:pPr>
        <w:spacing w:after="0" w:line="90" w:lineRule="exact"/>
        <w:rPr>
          <w:rFonts w:ascii="Arial" w:cs="Arial" w:eastAsia="Arial" w:hAnsi="Arial"/>
          <w:sz w:val="15"/>
          <w:szCs w:val="15"/>
          <w:color w:val="auto"/>
        </w:rPr>
      </w:pPr>
    </w:p>
    <w:p>
      <w:pPr>
        <w:ind w:left="1040" w:hanging="517"/>
        <w:spacing w:after="0"/>
        <w:tabs>
          <w:tab w:leader="none" w:pos="10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more stringent regulations relating to data security and the unauthorized use of, or access to, commercial and personal information, particularly in the European Union;</w:t>
      </w:r>
    </w:p>
    <w:p>
      <w:pPr>
        <w:spacing w:after="0" w:line="102" w:lineRule="exact"/>
        <w:rPr>
          <w:rFonts w:ascii="Arial" w:cs="Arial" w:eastAsia="Arial" w:hAnsi="Arial"/>
          <w:sz w:val="14"/>
          <w:szCs w:val="14"/>
          <w:color w:val="auto"/>
        </w:rPr>
      </w:pPr>
    </w:p>
    <w:p>
      <w:pPr>
        <w:ind w:left="1040" w:hanging="517"/>
        <w:spacing w:after="0"/>
        <w:tabs>
          <w:tab w:leader="none" w:pos="10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unexpected changes in regulatory requirements, taxes or trade laws;</w:t>
      </w:r>
    </w:p>
    <w:p>
      <w:pPr>
        <w:spacing w:after="0" w:line="90" w:lineRule="exact"/>
        <w:rPr>
          <w:rFonts w:ascii="Arial" w:cs="Arial" w:eastAsia="Arial" w:hAnsi="Arial"/>
          <w:sz w:val="15"/>
          <w:szCs w:val="15"/>
          <w:color w:val="auto"/>
        </w:rPr>
      </w:pPr>
    </w:p>
    <w:p>
      <w:pPr>
        <w:ind w:left="1040" w:right="440" w:hanging="517"/>
        <w:spacing w:after="0" w:line="263" w:lineRule="auto"/>
        <w:tabs>
          <w:tab w:leader="none" w:pos="10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differing labor regulations, especially in the European Union, where labor laws are generally more advantageous to employees as compared to the United States, including deemed hourly wage and overtime regulations in these locations;</w:t>
      </w:r>
    </w:p>
    <w:p>
      <w:pPr>
        <w:spacing w:after="0" w:line="60" w:lineRule="exact"/>
        <w:rPr>
          <w:rFonts w:ascii="Arial" w:cs="Arial" w:eastAsia="Arial" w:hAnsi="Arial"/>
          <w:sz w:val="15"/>
          <w:szCs w:val="15"/>
          <w:color w:val="auto"/>
        </w:rPr>
      </w:pPr>
    </w:p>
    <w:p>
      <w:pPr>
        <w:ind w:left="1040" w:right="220" w:hanging="517"/>
        <w:spacing w:after="0" w:line="263" w:lineRule="auto"/>
        <w:tabs>
          <w:tab w:leader="none" w:pos="10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challenges inherent in efficiently managing an increased number of employees over large geographic distances, including the need to implement appropriate systems, policies, benefits and compliance programs;</w:t>
      </w:r>
    </w:p>
    <w:p>
      <w:pPr>
        <w:spacing w:after="0" w:line="60" w:lineRule="exact"/>
        <w:rPr>
          <w:rFonts w:ascii="Arial" w:cs="Arial" w:eastAsia="Arial" w:hAnsi="Arial"/>
          <w:sz w:val="15"/>
          <w:szCs w:val="15"/>
          <w:color w:val="auto"/>
        </w:rPr>
      </w:pPr>
    </w:p>
    <w:p>
      <w:pPr>
        <w:ind w:left="1040" w:hanging="517"/>
        <w:spacing w:after="0"/>
        <w:tabs>
          <w:tab w:leader="none" w:pos="10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difficulties in managing a business in new markets with diverse cultures, languages, customs, legal systems, alternative dispute systems and regulatory systems;</w:t>
      </w:r>
    </w:p>
    <w:p>
      <w:pPr>
        <w:spacing w:after="0" w:line="102" w:lineRule="exact"/>
        <w:rPr>
          <w:rFonts w:ascii="Arial" w:cs="Arial" w:eastAsia="Arial" w:hAnsi="Arial"/>
          <w:sz w:val="14"/>
          <w:szCs w:val="14"/>
          <w:color w:val="auto"/>
        </w:rPr>
      </w:pPr>
    </w:p>
    <w:p>
      <w:pPr>
        <w:ind w:left="1040" w:right="220" w:hanging="517"/>
        <w:spacing w:after="0" w:line="263" w:lineRule="auto"/>
        <w:tabs>
          <w:tab w:leader="none" w:pos="10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currency exchange rate fluctuations and the resulting effect on our revenue and expenses, and the cost and risk of entering into hedging transactions if we chose to do so in the future;</w:t>
      </w:r>
    </w:p>
    <w:p>
      <w:pPr>
        <w:spacing w:after="0" w:line="60" w:lineRule="exact"/>
        <w:rPr>
          <w:rFonts w:ascii="Arial" w:cs="Arial" w:eastAsia="Arial" w:hAnsi="Arial"/>
          <w:sz w:val="15"/>
          <w:szCs w:val="15"/>
          <w:color w:val="auto"/>
        </w:rPr>
      </w:pPr>
    </w:p>
    <w:p>
      <w:pPr>
        <w:ind w:left="1040" w:hanging="517"/>
        <w:spacing w:after="0"/>
        <w:tabs>
          <w:tab w:leader="none" w:pos="10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limitations on our ability to reinvest earnings from operations in one country to fund the capital needs of our operations in other countries;</w:t>
      </w:r>
    </w:p>
    <w:p>
      <w:pPr>
        <w:spacing w:after="0" w:line="90" w:lineRule="exact"/>
        <w:rPr>
          <w:rFonts w:ascii="Arial" w:cs="Arial" w:eastAsia="Arial" w:hAnsi="Arial"/>
          <w:sz w:val="15"/>
          <w:szCs w:val="15"/>
          <w:color w:val="auto"/>
        </w:rPr>
      </w:pPr>
    </w:p>
    <w:p>
      <w:pPr>
        <w:ind w:left="1040" w:hanging="517"/>
        <w:spacing w:after="0"/>
        <w:tabs>
          <w:tab w:leader="none" w:pos="10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limited or insufficient intellectual property protection;</w:t>
      </w:r>
    </w:p>
    <w:p>
      <w:pPr>
        <w:spacing w:after="0" w:line="90" w:lineRule="exact"/>
        <w:rPr>
          <w:rFonts w:ascii="Arial" w:cs="Arial" w:eastAsia="Arial" w:hAnsi="Arial"/>
          <w:sz w:val="15"/>
          <w:szCs w:val="15"/>
          <w:color w:val="auto"/>
        </w:rPr>
      </w:pPr>
    </w:p>
    <w:p>
      <w:pPr>
        <w:ind w:left="1040" w:hanging="517"/>
        <w:spacing w:after="0"/>
        <w:tabs>
          <w:tab w:leader="none" w:pos="10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political instability or terrorist activities;</w:t>
      </w:r>
    </w:p>
    <w:p>
      <w:pPr>
        <w:spacing w:after="0" w:line="90" w:lineRule="exact"/>
        <w:rPr>
          <w:rFonts w:ascii="Arial" w:cs="Arial" w:eastAsia="Arial" w:hAnsi="Arial"/>
          <w:sz w:val="15"/>
          <w:szCs w:val="15"/>
          <w:color w:val="auto"/>
        </w:rPr>
      </w:pPr>
    </w:p>
    <w:p>
      <w:pPr>
        <w:jc w:val="both"/>
        <w:ind w:left="1040" w:right="80" w:hanging="517"/>
        <w:spacing w:after="0" w:line="253" w:lineRule="auto"/>
        <w:tabs>
          <w:tab w:leader="none" w:pos="10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likelihood of potential or actual violations of domestic and international anticorruption laws, such as the U.S. Foreign Corrupt Practices Act and the U.K. Bribery Act, or of U.S. and international export control and sanctions regulations, which likelihood may increase with an increase of sales or operations in foreign jurisdictions and operations in certain industries; and</w:t>
      </w:r>
    </w:p>
    <w:p>
      <w:pPr>
        <w:spacing w:after="0" w:line="68" w:lineRule="exact"/>
        <w:rPr>
          <w:rFonts w:ascii="Arial" w:cs="Arial" w:eastAsia="Arial" w:hAnsi="Arial"/>
          <w:sz w:val="15"/>
          <w:szCs w:val="15"/>
          <w:color w:val="auto"/>
        </w:rPr>
      </w:pPr>
    </w:p>
    <w:p>
      <w:pPr>
        <w:ind w:left="1040" w:hanging="517"/>
        <w:spacing w:after="0"/>
        <w:tabs>
          <w:tab w:leader="none" w:pos="10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adverse tax burdens and foreign exchange controls that could make it difficult to repatriate earnings and cash.</w:t>
      </w:r>
    </w:p>
    <w:p>
      <w:pPr>
        <w:spacing w:after="0" w:line="179" w:lineRule="exact"/>
        <w:rPr>
          <w:sz w:val="20"/>
          <w:szCs w:val="20"/>
          <w:color w:val="auto"/>
        </w:rPr>
      </w:pPr>
    </w:p>
    <w:p>
      <w:pPr>
        <w:ind w:right="200" w:firstLine="520"/>
        <w:spacing w:after="0" w:line="249" w:lineRule="auto"/>
        <w:rPr>
          <w:sz w:val="20"/>
          <w:szCs w:val="20"/>
          <w:color w:val="auto"/>
        </w:rPr>
      </w:pPr>
      <w:r>
        <w:rPr>
          <w:rFonts w:ascii="Arial" w:cs="Arial" w:eastAsia="Arial" w:hAnsi="Arial"/>
          <w:sz w:val="15"/>
          <w:szCs w:val="15"/>
          <w:color w:val="auto"/>
        </w:rPr>
        <w:t>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and operating results will suffer. We continue to implement policies and procedures to facilitate our compliance with U.S. laws and regulations applicable to or arising from our international business. Inadequacies in our past or current compliance practices may increase the risk of inadvertent violations of such laws and regulations, which could lead to financial and other penalties that could damage our reputation and impose costs on us.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1390" cy="39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60"/>
          </w:cols>
          <w:pgMar w:left="220" w:top="480" w:right="219" w:bottom="1440" w:gutter="0" w:footer="0" w:header="0"/>
        </w:sectPr>
      </w:pPr>
    </w:p>
    <w:bookmarkStart w:id="36" w:name="page37"/>
    <w:bookmarkEnd w:id="36"/>
    <w:p>
      <w:pPr>
        <w:ind w:right="20"/>
        <w:spacing w:after="0" w:line="263" w:lineRule="auto"/>
        <w:rPr>
          <w:sz w:val="20"/>
          <w:szCs w:val="20"/>
          <w:color w:val="auto"/>
        </w:rPr>
      </w:pPr>
      <w:r>
        <w:rPr>
          <w:rFonts w:ascii="Arial" w:cs="Arial" w:eastAsia="Arial" w:hAnsi="Arial"/>
          <w:sz w:val="15"/>
          <w:szCs w:val="15"/>
          <w:b w:val="1"/>
          <w:bCs w:val="1"/>
          <w:i w:val="1"/>
          <w:iCs w:val="1"/>
          <w:color w:val="auto"/>
        </w:rPr>
        <w:t>Interruptions or delays in service from our third-party data center providers could impair our ability to deliver our platform to our customers, resulting in customer dissatisfaction, damage to our reputation, loss of customers, limited growth and reduction in revenue.</w:t>
      </w:r>
    </w:p>
    <w:p>
      <w:pPr>
        <w:spacing w:after="0" w:line="61" w:lineRule="exact"/>
        <w:rPr>
          <w:sz w:val="20"/>
          <w:szCs w:val="20"/>
          <w:color w:val="auto"/>
        </w:rPr>
      </w:pPr>
    </w:p>
    <w:p>
      <w:pPr>
        <w:ind w:firstLine="520"/>
        <w:spacing w:after="0" w:line="271" w:lineRule="auto"/>
        <w:rPr>
          <w:sz w:val="20"/>
          <w:szCs w:val="20"/>
          <w:color w:val="auto"/>
        </w:rPr>
      </w:pPr>
      <w:r>
        <w:rPr>
          <w:rFonts w:ascii="Arial" w:cs="Arial" w:eastAsia="Arial" w:hAnsi="Arial"/>
          <w:sz w:val="14"/>
          <w:szCs w:val="14"/>
          <w:color w:val="auto"/>
        </w:rPr>
        <w:t>We currently serve the majority of our platform functions from third-party data center hosting facilities operated by Amazon Web Services and located in northern Virginia. In addition, we serve ancillary functions for our customers from third-party data center hosting facilities operated by Rackspace located in Dallas, Texas, with a backup facility in Chicago, Illinois. Our operations depend, in part, on our third-party facility providers’ abilities to protect these facilities against damage or interruption from natural disasters, such as earthquakes and hurricanes, power or telecommunications failures, criminal acts and similar events. In the event that any of our third-party facilities arrangements is terminated, or if there is a lapse of service or damage to a facility, we could experience interruptions in our platform as well as delays and additional expenses in arranging new facilities and services.</w:t>
      </w:r>
    </w:p>
    <w:p>
      <w:pPr>
        <w:spacing w:after="0" w:line="144" w:lineRule="exact"/>
        <w:rPr>
          <w:sz w:val="20"/>
          <w:szCs w:val="20"/>
          <w:color w:val="auto"/>
        </w:rPr>
      </w:pPr>
    </w:p>
    <w:p>
      <w:pPr>
        <w:ind w:right="100" w:firstLine="520"/>
        <w:spacing w:after="0" w:line="296" w:lineRule="auto"/>
        <w:rPr>
          <w:sz w:val="20"/>
          <w:szCs w:val="20"/>
          <w:color w:val="auto"/>
        </w:rPr>
      </w:pPr>
      <w:r>
        <w:rPr>
          <w:rFonts w:ascii="Arial" w:cs="Arial" w:eastAsia="Arial" w:hAnsi="Arial"/>
          <w:sz w:val="13"/>
          <w:szCs w:val="13"/>
          <w:color w:val="auto"/>
        </w:rPr>
        <w:t>Any damage to, or failure of, the systems of our third-party providers could result in interruptions to our platform. Despite precautions taken at our data centers, the occurrence of spikes in usage volume, a natural disaster, such as earthquakes or hurricane, an act of terrorism, vandalism or sabotage, a decision to close a facility without adequate notice, or other unanticipated problems at a facility could result in lengthy interruptions in the availability of our on-demand software.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fail to renew their subscriptions, any of which could materially adversely affect our business.</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dependent on the continued availability of third-party data hosting and transmission services.</w:t>
      </w:r>
    </w:p>
    <w:p>
      <w:pPr>
        <w:spacing w:after="0" w:line="91" w:lineRule="exact"/>
        <w:rPr>
          <w:sz w:val="20"/>
          <w:szCs w:val="20"/>
          <w:color w:val="auto"/>
        </w:rPr>
      </w:pPr>
    </w:p>
    <w:p>
      <w:pPr>
        <w:ind w:firstLine="520"/>
        <w:spacing w:after="0" w:line="253" w:lineRule="auto"/>
        <w:rPr>
          <w:sz w:val="20"/>
          <w:szCs w:val="20"/>
          <w:color w:val="auto"/>
        </w:rPr>
      </w:pPr>
      <w:r>
        <w:rPr>
          <w:rFonts w:ascii="Arial" w:cs="Arial" w:eastAsia="Arial" w:hAnsi="Arial"/>
          <w:sz w:val="15"/>
          <w:szCs w:val="15"/>
          <w:color w:val="auto"/>
        </w:rPr>
        <w:t>A significant portion of our operating cost is from our third-party data hosting and transmission services. If the costs for such services increase due to vendor consolidation, regulation, contract renegotiation, or otherwise, we may not be able to increase the fees for our inbound platform or services to cover the changes. As a result, our operating results may be significantly worse than forecasted.</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do not or cannot maintain the compatibility of our inbound platform with third-party applications that our customers use in their businesses, our revenue will decline.</w:t>
      </w:r>
    </w:p>
    <w:p>
      <w:pPr>
        <w:spacing w:after="0" w:line="102" w:lineRule="exact"/>
        <w:rPr>
          <w:sz w:val="20"/>
          <w:szCs w:val="20"/>
          <w:color w:val="auto"/>
        </w:rPr>
      </w:pPr>
    </w:p>
    <w:p>
      <w:pPr>
        <w:ind w:firstLine="520"/>
        <w:spacing w:after="0" w:line="246" w:lineRule="auto"/>
        <w:rPr>
          <w:sz w:val="20"/>
          <w:szCs w:val="20"/>
          <w:color w:val="auto"/>
        </w:rPr>
      </w:pPr>
      <w:r>
        <w:rPr>
          <w:rFonts w:ascii="Arial" w:cs="Arial" w:eastAsia="Arial" w:hAnsi="Arial"/>
          <w:sz w:val="15"/>
          <w:szCs w:val="15"/>
          <w:color w:val="auto"/>
        </w:rPr>
        <w:t>A significant percentage of our customers choose to integrate our platform with certain capabilities provided by third-party application providers using application programming interfaces, or APIs, published by these providers. The functionality and popularity of our inbound platform depends, in part, on our ability to integrate our platform with third-party applications and platforms, including CRM, CMS, e-commerce, call center, analytics and social media sites that our customers use and from which they obtain data. Third-party providers of applications and APIs may change the features of their applications and platforms, restrict our access to their applications and platforms or alter the terms governing use of their applications and APIs and access to those applications and platforms in an adverse manner. Such changes could functionally limit or terminate our ability to use these third-party applications and platforms in conjunction with our platform, which could negatively impact our offerings and harm our business. If we fail to integrate our platform with new third-party applications and platforms that our customers use for marketing, sales or services purposes, we may not be able to offer the functionality that our customers need, which would negatively impact our ability to generate revenue and adversely impact our business.</w:t>
      </w:r>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rely on data provided by third parties, the loss of which could limit the functionality of our platform and disrupt our business.</w:t>
      </w:r>
    </w:p>
    <w:p>
      <w:pPr>
        <w:spacing w:after="0" w:line="91" w:lineRule="exact"/>
        <w:rPr>
          <w:sz w:val="20"/>
          <w:szCs w:val="20"/>
          <w:color w:val="auto"/>
        </w:rPr>
      </w:pPr>
    </w:p>
    <w:p>
      <w:pPr>
        <w:ind w:firstLine="520"/>
        <w:spacing w:after="0" w:line="291" w:lineRule="auto"/>
        <w:rPr>
          <w:sz w:val="20"/>
          <w:szCs w:val="20"/>
          <w:color w:val="auto"/>
        </w:rPr>
      </w:pPr>
      <w:r>
        <w:rPr>
          <w:rFonts w:ascii="Arial" w:cs="Arial" w:eastAsia="Arial" w:hAnsi="Arial"/>
          <w:sz w:val="13"/>
          <w:szCs w:val="13"/>
          <w:color w:val="auto"/>
        </w:rPr>
        <w:t>Select functionality of our inbound platform depends on our ability to deliver data, including search engine results and social media updates, provided by unaffiliated third parties, such as Facebook, Google, LinkedIn and Twitter. Some of this data is provided to us pursuant to third-party data sharing policies and terms of use, under data sharing agreements by third-party providers or by customer consent. In the future, any of these third parties could change its data sharing policies, including making them more restrictive, or alter its algorithms that determine the placement, display, and accessibility of search results and social media updates, any of which could result in the loss of, or significant impairment to, our ability to collect and provide useful data to our customers. These third parties could also interpret our, or our service providers’, data collection policies or practices as being inconsistent with their policies, which could result in the loss of our ability to collect this data for our customers. Any such changes could impair our ability to deliver data to our customers and could adversely impact select functionality of our platform, impairing the return on investment that our customers derive from using our solution, as well as adversely affecting our business and our ability to generate revenue.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1390" cy="393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40"/>
          </w:cols>
          <w:pgMar w:left="220" w:top="568" w:right="239" w:bottom="1440" w:gutter="0" w:footer="0" w:header="0"/>
        </w:sectPr>
      </w:pPr>
    </w:p>
    <w:bookmarkStart w:id="37" w:name="page38"/>
    <w:bookmarkEnd w:id="37"/>
    <w:p>
      <w:pPr>
        <w:spacing w:after="0"/>
        <w:rPr>
          <w:sz w:val="20"/>
          <w:szCs w:val="20"/>
          <w:color w:val="auto"/>
        </w:rPr>
      </w:pPr>
      <w:r>
        <w:rPr>
          <w:rFonts w:ascii="Arial" w:cs="Arial" w:eastAsia="Arial" w:hAnsi="Arial"/>
          <w:sz w:val="15"/>
          <w:szCs w:val="15"/>
          <w:b w:val="1"/>
          <w:bCs w:val="1"/>
          <w:i w:val="1"/>
          <w:iCs w:val="1"/>
          <w:color w:val="auto"/>
        </w:rPr>
        <w:t>Privacy concerns and end users’ acceptance of Internet behavior tracking may limit the applicability, use and adoption of our inbound platform.</w:t>
      </w:r>
    </w:p>
    <w:p>
      <w:pPr>
        <w:spacing w:after="0" w:line="91" w:lineRule="exact"/>
        <w:rPr>
          <w:sz w:val="20"/>
          <w:szCs w:val="20"/>
          <w:color w:val="auto"/>
        </w:rPr>
      </w:pPr>
    </w:p>
    <w:p>
      <w:pPr>
        <w:ind w:firstLine="520"/>
        <w:spacing w:after="0" w:line="248" w:lineRule="auto"/>
        <w:rPr>
          <w:sz w:val="20"/>
          <w:szCs w:val="20"/>
          <w:color w:val="auto"/>
        </w:rPr>
      </w:pPr>
      <w:r>
        <w:rPr>
          <w:rFonts w:ascii="Arial" w:cs="Arial" w:eastAsia="Arial" w:hAnsi="Arial"/>
          <w:sz w:val="15"/>
          <w:szCs w:val="15"/>
          <w:color w:val="auto"/>
        </w:rPr>
        <w:t>Privacy concerns may cause end users to resist providing the personal data necessary to allow our customers to use our platform effectively. We have implemented various features intended to enable our customers to better protect end user privacy, but these measures may not alleviate all potential privacy concerns and threats. Even the perception of privacy concerns, whether or not valid, may inhibit market adoption of our platform, especially in certain industries that rely on sensitive personal information. Privacy advocacy groups and the technology and other industries are considering various new, additional or different self-regulatory standards that may place additional burdens on us. The costs of compliance with, and other burdens imposed by these groups’ policies and actions may limit the use and adoption of our inbound platform and reduce overall demand for it, or lead to significant fines, penalties or liabilities for any noncompliance or loss of any such action.</w:t>
      </w:r>
    </w:p>
    <w:p>
      <w:pPr>
        <w:spacing w:after="0" w:line="247" w:lineRule="exact"/>
        <w:rPr>
          <w:sz w:val="20"/>
          <w:szCs w:val="20"/>
          <w:color w:val="auto"/>
        </w:rPr>
      </w:pPr>
    </w:p>
    <w:p>
      <w:pPr>
        <w:ind w:right="60"/>
        <w:spacing w:after="0" w:line="416" w:lineRule="auto"/>
        <w:rPr>
          <w:sz w:val="20"/>
          <w:szCs w:val="20"/>
          <w:color w:val="auto"/>
        </w:rPr>
      </w:pPr>
      <w:r>
        <w:rPr>
          <w:rFonts w:ascii="Arial" w:cs="Arial" w:eastAsia="Arial" w:hAnsi="Arial"/>
          <w:sz w:val="11"/>
          <w:szCs w:val="11"/>
          <w:b w:val="1"/>
          <w:bCs w:val="1"/>
          <w:i w:val="1"/>
          <w:iCs w:val="1"/>
          <w:color w:val="auto"/>
        </w:rPr>
        <w:t>We are subject to governmental regulation and other legal obligations, particularly related to privacy, data protection and information security, and our actual or perceived failure to comply with such obligations could harm our business. Compliance with such laws could also impair our efforts to maintain and expand our customer base, and thereby decrease our revenue.</w:t>
      </w:r>
    </w:p>
    <w:p>
      <w:pPr>
        <w:ind w:right="40" w:firstLine="520"/>
        <w:spacing w:after="0" w:line="250" w:lineRule="auto"/>
        <w:rPr>
          <w:sz w:val="20"/>
          <w:szCs w:val="20"/>
          <w:color w:val="auto"/>
        </w:rPr>
      </w:pPr>
      <w:r>
        <w:rPr>
          <w:rFonts w:ascii="Arial" w:cs="Arial" w:eastAsia="Arial" w:hAnsi="Arial"/>
          <w:sz w:val="15"/>
          <w:szCs w:val="15"/>
          <w:color w:val="auto"/>
        </w:rPr>
        <w:t>Our handling of data is subject to a variety of laws and regulations, including regulation by various government agencies, including the U.S. Federal Trade Commission, or FTC, and various state, local and foreign agencies. We collect personally identifiable information and other data from our customers and leads. We also handle personally identifiable information about our customers’ customers. We use this information to provide services to our customers, to support, expand and improve our business. We may also share customers’ personally identifiable information with third parties as authorized by the customer or as described in our privacy policy.</w:t>
      </w:r>
    </w:p>
    <w:p>
      <w:pPr>
        <w:spacing w:after="0" w:line="159" w:lineRule="exact"/>
        <w:rPr>
          <w:sz w:val="20"/>
          <w:szCs w:val="20"/>
          <w:color w:val="auto"/>
        </w:rPr>
      </w:pPr>
    </w:p>
    <w:p>
      <w:pPr>
        <w:ind w:firstLine="520"/>
        <w:spacing w:after="0" w:line="269" w:lineRule="auto"/>
        <w:rPr>
          <w:sz w:val="20"/>
          <w:szCs w:val="20"/>
          <w:color w:val="auto"/>
        </w:rPr>
      </w:pPr>
      <w:r>
        <w:rPr>
          <w:rFonts w:ascii="Arial" w:cs="Arial" w:eastAsia="Arial" w:hAnsi="Arial"/>
          <w:sz w:val="14"/>
          <w:szCs w:val="14"/>
          <w:color w:val="auto"/>
        </w:rPr>
        <w:t>The U.S. federal and various state and foreign governments have adopted or proposed limitations on the collection, distribution, use and storage of personal information of individuals. In the United States, the FTC and many state attorneys general are applying federal and state consumer protection laws as imposing standards for the online collection, use and dissemination of data. However, these obligations may be interpreted and applied in a manner that is inconsistent from one jurisdiction to another and may conflict with other requirements or our practices. Any failure or perceived failure by us to comply with privacy or security laws, policies, legal obligations or industry standards or any security incident that results in the unauthorized release or transfer of personally identifiable information or other customer data may result in governmental enforcement actions, litigation, fines and penalties and/or adverse publicity, and could cause our customers to lose trust in us, which could have an adverse effect on our reputation and business.</w:t>
      </w:r>
    </w:p>
    <w:p>
      <w:pPr>
        <w:spacing w:after="0" w:line="146" w:lineRule="exact"/>
        <w:rPr>
          <w:sz w:val="20"/>
          <w:szCs w:val="20"/>
          <w:color w:val="auto"/>
        </w:rPr>
      </w:pPr>
    </w:p>
    <w:p>
      <w:pPr>
        <w:ind w:right="60" w:firstLine="520"/>
        <w:spacing w:after="0" w:line="280" w:lineRule="auto"/>
        <w:rPr>
          <w:sz w:val="20"/>
          <w:szCs w:val="20"/>
          <w:color w:val="auto"/>
        </w:rPr>
      </w:pPr>
      <w:r>
        <w:rPr>
          <w:rFonts w:ascii="Arial" w:cs="Arial" w:eastAsia="Arial" w:hAnsi="Arial"/>
          <w:sz w:val="14"/>
          <w:szCs w:val="14"/>
          <w:color w:val="auto"/>
        </w:rPr>
        <w:t>Laws and regulations concerning privacy, data protection and information security are evolving, and changes to such laws and regulations could require us to change features of our platform or restrict our customers’ ability to collect and use email addresses, page viewing data and personal information, which may reduce demand for our platform. Our failure to comply with federal, state and international data privacy laws and regulations could harm our ability to successfully operate our business and pursue our business goals.</w:t>
      </w:r>
    </w:p>
    <w:p>
      <w:pPr>
        <w:spacing w:after="0" w:line="139" w:lineRule="exact"/>
        <w:rPr>
          <w:sz w:val="20"/>
          <w:szCs w:val="20"/>
          <w:color w:val="auto"/>
        </w:rPr>
      </w:pPr>
    </w:p>
    <w:p>
      <w:pPr>
        <w:ind w:right="140" w:firstLine="520"/>
        <w:spacing w:after="0" w:line="269" w:lineRule="auto"/>
        <w:rPr>
          <w:sz w:val="20"/>
          <w:szCs w:val="20"/>
          <w:color w:val="auto"/>
        </w:rPr>
      </w:pPr>
      <w:r>
        <w:rPr>
          <w:rFonts w:ascii="Arial" w:cs="Arial" w:eastAsia="Arial" w:hAnsi="Arial"/>
          <w:sz w:val="14"/>
          <w:szCs w:val="14"/>
          <w:color w:val="auto"/>
        </w:rPr>
        <w:t>In addition, several foreign countries and governmental bodies, including the European Union and Canada, have regulations dealing with the collection and use of personal information obtained from their residents, which are often more restrictive than those in the United States. Laws and regulations in these jurisdictions apply broadly to the collection, use, storage, disclosure and security of personal information that identifies or may be used to identify an individual. Within the European Union, legislators have adopted the General Data Protection Regulation, or GDPR, effective May 2018 which may impose additional obligations and risk upon our business and which may increase substantially the penalties to which we could be subject in the event of any non-compliance. We may incur substantial expense in complying with the new obligations to be imposed by the GDPR and we may be required to make significant changes in our business operations, all of which may adversely affect our revenues and our business overall.</w:t>
      </w:r>
    </w:p>
    <w:p>
      <w:pPr>
        <w:spacing w:after="0" w:line="146" w:lineRule="exact"/>
        <w:rPr>
          <w:sz w:val="20"/>
          <w:szCs w:val="20"/>
          <w:color w:val="auto"/>
        </w:rPr>
      </w:pPr>
    </w:p>
    <w:p>
      <w:pPr>
        <w:ind w:right="20" w:firstLine="520"/>
        <w:spacing w:after="0" w:line="271" w:lineRule="auto"/>
        <w:rPr>
          <w:sz w:val="20"/>
          <w:szCs w:val="20"/>
          <w:color w:val="auto"/>
        </w:rPr>
      </w:pPr>
      <w:r>
        <w:rPr>
          <w:rFonts w:ascii="Arial" w:cs="Arial" w:eastAsia="Arial" w:hAnsi="Arial"/>
          <w:sz w:val="14"/>
          <w:szCs w:val="14"/>
          <w:color w:val="auto"/>
        </w:rPr>
        <w:t>We have in the past relied upon adherence to the U.S. Department of Commerce’s Safe Harbor Privacy Principles and compliance with the U.S.-EU and U.S.-Swiss Safe Harbor Frameworks as agreed to and set forth by the U.S. Department of Commerce, and the European Union and Switzerland, which established a means for legitimating the transfer of personal data by data controllers in the European Economic Area, or EEA, to the U.S. As a result of the October 6, 2015 European Union Court of Justice, or ECJ, opinion in Case C-362/14 (Schrems v. Data Protection Commissioner) regarding the adequacy of the U.S.-EU Safe Harbor Framework, the U.S. – EU Safe Harbor Framework is no longer deemed to be a valid method of compliance with requirements set forth in the Directive (and member states’ implementations thereof) regarding the transfer of personal data outside of the EEA.</w:t>
      </w:r>
    </w:p>
    <w:p>
      <w:pPr>
        <w:spacing w:after="0" w:line="144" w:lineRule="exact"/>
        <w:rPr>
          <w:sz w:val="20"/>
          <w:szCs w:val="20"/>
          <w:color w:val="auto"/>
        </w:rPr>
      </w:pPr>
    </w:p>
    <w:p>
      <w:pPr>
        <w:jc w:val="both"/>
        <w:ind w:right="40" w:firstLine="520"/>
        <w:spacing w:after="0" w:line="280" w:lineRule="auto"/>
        <w:rPr>
          <w:sz w:val="20"/>
          <w:szCs w:val="20"/>
          <w:color w:val="auto"/>
        </w:rPr>
      </w:pPr>
      <w:r>
        <w:rPr>
          <w:rFonts w:ascii="Arial" w:cs="Arial" w:eastAsia="Arial" w:hAnsi="Arial"/>
          <w:sz w:val="14"/>
          <w:szCs w:val="14"/>
          <w:color w:val="auto"/>
        </w:rPr>
        <w:t>On May 23, 2016, the European Parliament adopted a resolution and on July 8, 2016 the European Member State representatives approved the final version of the EU-US Privacy Shield as a successor to the Safe Harbor framework. As of August 1, 2016, interested companies have been permitted to register for the program. We are currently certified to the EU-US Privacy Shield. There continue to be concerns about whether the EU-US Privacy Shield will face additional challenges. Until the remaining legal</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1390" cy="39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20"/>
          </w:cols>
          <w:pgMar w:left="220" w:top="568" w:right="259" w:bottom="1440" w:gutter="0" w:footer="0" w:header="0"/>
        </w:sectPr>
      </w:pPr>
    </w:p>
    <w:bookmarkStart w:id="38" w:name="page39"/>
    <w:bookmarkEnd w:id="38"/>
    <w:p>
      <w:pPr>
        <w:ind w:right="220"/>
        <w:spacing w:after="0" w:line="280" w:lineRule="auto"/>
        <w:rPr>
          <w:sz w:val="20"/>
          <w:szCs w:val="20"/>
          <w:color w:val="auto"/>
        </w:rPr>
      </w:pPr>
      <w:r>
        <w:rPr>
          <w:rFonts w:ascii="Arial" w:cs="Arial" w:eastAsia="Arial" w:hAnsi="Arial"/>
          <w:sz w:val="14"/>
          <w:szCs w:val="14"/>
          <w:color w:val="auto"/>
        </w:rPr>
        <w:t>uncertainties regarding the future of the EU-US Privacy Shield are settled, we will continue to face uncertainty as to whether our efforts to comply with our obligations under European privacy laws will be sufficient. If we are investigated by a European data protection authority, we may face fines and other penalties. Any such investigation or charges by European data protection authorities could have a negative effect on our existing business and on our ability to attract and retain new customers.</w:t>
      </w:r>
    </w:p>
    <w:p>
      <w:pPr>
        <w:spacing w:after="0" w:line="139" w:lineRule="exact"/>
        <w:rPr>
          <w:sz w:val="20"/>
          <w:szCs w:val="20"/>
          <w:color w:val="auto"/>
        </w:rPr>
      </w:pPr>
    </w:p>
    <w:p>
      <w:pPr>
        <w:ind w:right="60" w:firstLine="520"/>
        <w:spacing w:after="0" w:line="249" w:lineRule="auto"/>
        <w:rPr>
          <w:sz w:val="20"/>
          <w:szCs w:val="20"/>
          <w:color w:val="auto"/>
        </w:rPr>
      </w:pPr>
      <w:r>
        <w:rPr>
          <w:rFonts w:ascii="Arial" w:cs="Arial" w:eastAsia="Arial" w:hAnsi="Arial"/>
          <w:sz w:val="15"/>
          <w:szCs w:val="15"/>
          <w:color w:val="auto"/>
        </w:rPr>
        <w:t>We may also experience hesitancy, reluctance, or refusal by European or multi-national customers to continue to use our services due to the potential risk exposure to such customers as a result of the ECJ ruling in Case C-362/14 and the current data protection obligations imposed on them by certain data protection authorities. Such customers may also view any alternative approaches to compliance as being too costly, too burdensome, too legally uncertain or otherwise objectionable and therefore decide not to do business with us. For example, some of our customers or potential customers in the EU may require their vendors to host all personal data within the EU and may decide to do business with one of our competitors who hosts personal data within the EU instead of doing business with us.</w:t>
      </w:r>
    </w:p>
    <w:p>
      <w:pPr>
        <w:spacing w:after="0" w:line="158" w:lineRule="exact"/>
        <w:rPr>
          <w:sz w:val="20"/>
          <w:szCs w:val="20"/>
          <w:color w:val="auto"/>
        </w:rPr>
      </w:pPr>
    </w:p>
    <w:p>
      <w:pPr>
        <w:ind w:right="40" w:firstLine="520"/>
        <w:spacing w:after="0" w:line="250" w:lineRule="auto"/>
        <w:rPr>
          <w:sz w:val="20"/>
          <w:szCs w:val="20"/>
          <w:color w:val="auto"/>
        </w:rPr>
      </w:pPr>
      <w:r>
        <w:rPr>
          <w:rFonts w:ascii="Arial" w:cs="Arial" w:eastAsia="Arial" w:hAnsi="Arial"/>
          <w:sz w:val="15"/>
          <w:szCs w:val="15"/>
          <w:color w:val="auto"/>
        </w:rPr>
        <w:t>We and our customers are at risk of enforcement actions taken by certain EU data protection authorities until such point in time that we may be able to ensure that all transfers of personal data to us from the EEA are conducted in compliance with all applicable regulatory obligations, the guidance of data protection authorities, and evolving best practices. We may find it necessary to establish systems to maintain personal data originating from the EU in the EEA, which may involve substantial expense and may cause us to need to divert resources from other aspects of our business, all of which may adversely affect our business.</w:t>
      </w:r>
    </w:p>
    <w:p>
      <w:pPr>
        <w:spacing w:after="0" w:line="159" w:lineRule="exact"/>
        <w:rPr>
          <w:sz w:val="20"/>
          <w:szCs w:val="20"/>
          <w:color w:val="auto"/>
        </w:rPr>
      </w:pPr>
    </w:p>
    <w:p>
      <w:pPr>
        <w:ind w:right="220" w:firstLine="520"/>
        <w:spacing w:after="0" w:line="274" w:lineRule="auto"/>
        <w:rPr>
          <w:sz w:val="20"/>
          <w:szCs w:val="20"/>
          <w:color w:val="auto"/>
        </w:rPr>
      </w:pPr>
      <w:r>
        <w:rPr>
          <w:rFonts w:ascii="Arial" w:cs="Arial" w:eastAsia="Arial" w:hAnsi="Arial"/>
          <w:sz w:val="14"/>
          <w:szCs w:val="14"/>
          <w:color w:val="auto"/>
        </w:rPr>
        <w:t>In addition, if our privacy or data security measures fail to comply with current or future laws and regulations, we may be subject to claims, legal proceedings or other actions by individuals or governmental authorities based on privacy or data protection regulations and our commitments to customers or others, as well as negative publicity and a potential loss of business. Moreover, if future laws and regulations limit our subscribers’ ability to use and share personal information or our ability to store, process and share personal information, demand for our solutions could decrease, our costs could increase, and our business, results of operations and financial condition could be harmed.</w:t>
      </w:r>
    </w:p>
    <w:p>
      <w:pPr>
        <w:spacing w:after="0" w:line="230" w:lineRule="exact"/>
        <w:rPr>
          <w:sz w:val="20"/>
          <w:szCs w:val="20"/>
          <w:color w:val="auto"/>
        </w:rPr>
      </w:pPr>
    </w:p>
    <w:p>
      <w:pPr>
        <w:ind w:right="360"/>
        <w:spacing w:after="0" w:line="416" w:lineRule="auto"/>
        <w:rPr>
          <w:sz w:val="20"/>
          <w:szCs w:val="20"/>
          <w:color w:val="auto"/>
        </w:rPr>
      </w:pPr>
      <w:r>
        <w:rPr>
          <w:rFonts w:ascii="Arial" w:cs="Arial" w:eastAsia="Arial" w:hAnsi="Arial"/>
          <w:sz w:val="11"/>
          <w:szCs w:val="11"/>
          <w:b w:val="1"/>
          <w:bCs w:val="1"/>
          <w:i w:val="1"/>
          <w:iCs w:val="1"/>
          <w:color w:val="auto"/>
        </w:rPr>
        <w:t>If our or our customers’ security measures are compromised or unauthorized access to data of our customers or their customers is otherwise obtained, our inbound platform may be perceived as not being secure, our customers may be harmed and may curtail or cease their use of our platform, our reputation may be damaged and we may incur significant liabilities.</w:t>
      </w:r>
    </w:p>
    <w:p>
      <w:pPr>
        <w:ind w:firstLine="520"/>
        <w:spacing w:after="0" w:line="264" w:lineRule="auto"/>
        <w:rPr>
          <w:sz w:val="20"/>
          <w:szCs w:val="20"/>
          <w:color w:val="auto"/>
        </w:rPr>
      </w:pPr>
      <w:r>
        <w:rPr>
          <w:rFonts w:ascii="Arial" w:cs="Arial" w:eastAsia="Arial" w:hAnsi="Arial"/>
          <w:sz w:val="14"/>
          <w:szCs w:val="14"/>
          <w:color w:val="auto"/>
        </w:rPr>
        <w:t>Our operations involve the storage and transmission of data of our customers and their customers, including personally identifiable information. Our storage is typically the sole source of record for portions of our customers’ businesses and end user data, such as initial contact information and online interactions. Security incidents could result in unauthorized access to, loss of or unauthorized disclosure of this information, litigation, indemnity obligations and other possible liabilities, as well as negative publicity, which could damage our reputation, impair our sales and harm our customers and our business. Cyber-attacks and other malicious Internet-based activity continue to increase generally, and cloud-based platform providers of marketing services have been targeted. If our security measures are compromised as a result of third-party action, employee or customer error, malfeasance, stolen or fraudulently obtained log-in credentials or otherwise, our reputation could be damaged, our business may be harmed and we could incur significant liability. If third parties with whom we work, such as vendors or developers, violate applicable laws or our security policies, such violations may also put our customers’ information at risk and could in turn have an adverse effect on our business. In addition, if the security measures of our customers are compromised, even without any actual compromise of our own systems, we may face negative publicity or reputational harm if our customers or anyone else incorrectly attributes the blame for such security breaches to us or our systems. We may be unable to anticipate or prevent techniques used to obtain unauthorized access or to sabotage systems because they change frequently and generally are not detected until after an incident has occurred. As we increase our customer base and our brand becomes more widely known and recognized, we may become more of a target for third parties seeking to compromise our security systems or gain unauthorized access to our customers’ data. Additionally, we provide extensive access to our database, which stores our customer data, to our development team to facilitate our rapid pace of product development. If such access or our own operations cause the loss, damage or destruction of our customers’ business data, their sales, lead generation, support and other business operations may be permanently harmed. As a result, our customers may bring claims against us for lost profits and other damages.</w:t>
      </w:r>
    </w:p>
    <w:p>
      <w:pPr>
        <w:spacing w:after="0" w:line="153" w:lineRule="exact"/>
        <w:rPr>
          <w:sz w:val="20"/>
          <w:szCs w:val="20"/>
          <w:color w:val="auto"/>
        </w:rPr>
      </w:pPr>
    </w:p>
    <w:p>
      <w:pPr>
        <w:ind w:right="100" w:firstLine="520"/>
        <w:spacing w:after="0" w:line="271" w:lineRule="auto"/>
        <w:rPr>
          <w:sz w:val="20"/>
          <w:szCs w:val="20"/>
          <w:color w:val="auto"/>
        </w:rPr>
      </w:pPr>
      <w:r>
        <w:rPr>
          <w:rFonts w:ascii="Arial" w:cs="Arial" w:eastAsia="Arial" w:hAnsi="Arial"/>
          <w:sz w:val="14"/>
          <w:szCs w:val="14"/>
          <w:color w:val="auto"/>
        </w:rPr>
        <w:t>Many governments have enacted laws requiring companies to notify individuals of data security incidents or unauthorized transfers involving certain types of personal data. In addition, some of our customers contractually require notification of any data security compromise. Security compromises experienced by our competitors, by our customers or by us may lead to public disclosures, which may lead to widespread negative publicity. Any security compromise in our industry, whether actual or perceived, could harm our reputation, erode customer confidence in the effectiveness of our security measures, negatively impact our ability to attract new customers, cause existing customers to elect not to renew their subscriptions or subject us to third-party lawsuits, regulatory fines or other action or liability, which could materially and adversely affect our business and operating results.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1390" cy="393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60"/>
          </w:cols>
          <w:pgMar w:left="220" w:top="480" w:right="219" w:bottom="1440" w:gutter="0" w:footer="0" w:header="0"/>
        </w:sectPr>
      </w:pPr>
    </w:p>
    <w:bookmarkStart w:id="39" w:name="page40"/>
    <w:bookmarkEnd w:id="39"/>
    <w:p>
      <w:pPr>
        <w:ind w:right="20" w:firstLine="520"/>
        <w:spacing w:after="0" w:line="271" w:lineRule="auto"/>
        <w:rPr>
          <w:sz w:val="20"/>
          <w:szCs w:val="20"/>
          <w:color w:val="auto"/>
        </w:rPr>
      </w:pPr>
      <w:r>
        <w:rPr>
          <w:rFonts w:ascii="Arial" w:cs="Arial" w:eastAsia="Arial" w:hAnsi="Arial"/>
          <w:sz w:val="14"/>
          <w:szCs w:val="14"/>
          <w:color w:val="auto"/>
        </w:rPr>
        <w:t>There can be no assurance that any limitations of liability provisions in our contracts for a security breach would be enforceable or adequate or would otherwise protect us from any such liabilities or damages with respect to any particular claim. We also cannot be sure that our existing general liability insurance coverage and coverage for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operating results.</w:t>
      </w:r>
    </w:p>
    <w:p>
      <w:pPr>
        <w:spacing w:after="0" w:line="232" w:lineRule="exact"/>
        <w:rPr>
          <w:sz w:val="20"/>
          <w:szCs w:val="20"/>
          <w:color w:val="auto"/>
        </w:rPr>
      </w:pPr>
    </w:p>
    <w:p>
      <w:pPr>
        <w:ind w:right="740"/>
        <w:spacing w:after="0" w:line="263" w:lineRule="auto"/>
        <w:rPr>
          <w:sz w:val="20"/>
          <w:szCs w:val="20"/>
          <w:color w:val="auto"/>
        </w:rPr>
      </w:pPr>
      <w:r>
        <w:rPr>
          <w:rFonts w:ascii="Arial" w:cs="Arial" w:eastAsia="Arial" w:hAnsi="Arial"/>
          <w:sz w:val="15"/>
          <w:szCs w:val="15"/>
          <w:b w:val="1"/>
          <w:bCs w:val="1"/>
          <w:i w:val="1"/>
          <w:iCs w:val="1"/>
          <w:color w:val="auto"/>
        </w:rPr>
        <w:t>If our inbound platform fails due to defects or similar problems, and if we fail to correct any defect or other software problems, we could lose customers, become subject to service performance or warranty claims or incur significant costs.</w:t>
      </w:r>
    </w:p>
    <w:p>
      <w:pPr>
        <w:spacing w:after="0" w:line="61" w:lineRule="exact"/>
        <w:rPr>
          <w:sz w:val="20"/>
          <w:szCs w:val="20"/>
          <w:color w:val="auto"/>
        </w:rPr>
      </w:pPr>
    </w:p>
    <w:p>
      <w:pPr>
        <w:ind w:right="20" w:firstLine="520"/>
        <w:spacing w:after="0" w:line="266" w:lineRule="auto"/>
        <w:rPr>
          <w:sz w:val="20"/>
          <w:szCs w:val="20"/>
          <w:color w:val="auto"/>
        </w:rPr>
      </w:pPr>
      <w:r>
        <w:rPr>
          <w:rFonts w:ascii="Arial" w:cs="Arial" w:eastAsia="Arial" w:hAnsi="Arial"/>
          <w:sz w:val="14"/>
          <w:szCs w:val="14"/>
          <w:color w:val="auto"/>
        </w:rPr>
        <w:t>Our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We have from time to time found defects in our software and may discover additional defects in the future. We may not be able to detect and correct defects or errors before customers begin to use our platform or its applications. Consequently, we or our customers may discover defects or errors after our platform has been implemented. These defects or errors could also cause inaccuracies in the data we collect and process for our customers, or even the loss, damage or inadvertent release of such confidential data. We implement bug fixes and upgrades as part of our regular system maintenance, which may lead to system downtime. Even if we are able to implement the bug fixes and upgrades in a timely manner, any history of defects or inaccuracies in the data we collect for our customers, or the loss, damage or inadvertent release of confidential data could cause our reputation to be harmed, and customers may elect not to purchase or renew their agreements with us and subject us to service performance credits, warranty claims or increased insurance costs. The costs associated with any material defects or errors in our platform or other performance problems may be substantial and could materially adversely affect our operating results.</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Intellectual Property</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may suffer if it is alleged or determined that our technology infringes the intellectual property rights of others.</w:t>
      </w:r>
    </w:p>
    <w:p>
      <w:pPr>
        <w:spacing w:after="0" w:line="91" w:lineRule="exact"/>
        <w:rPr>
          <w:sz w:val="20"/>
          <w:szCs w:val="20"/>
          <w:color w:val="auto"/>
        </w:rPr>
      </w:pPr>
    </w:p>
    <w:p>
      <w:pPr>
        <w:ind w:firstLine="520"/>
        <w:spacing w:after="0" w:line="265" w:lineRule="auto"/>
        <w:rPr>
          <w:sz w:val="20"/>
          <w:szCs w:val="20"/>
          <w:color w:val="auto"/>
        </w:rPr>
      </w:pPr>
      <w:r>
        <w:rPr>
          <w:rFonts w:ascii="Arial" w:cs="Arial" w:eastAsia="Arial" w:hAnsi="Arial"/>
          <w:sz w:val="14"/>
          <w:szCs w:val="14"/>
          <w:color w:val="auto"/>
        </w:rPr>
        <w:t>The software industry is characterized by the existence of a large number of patents, copyrights, trademarks, trade secrets and other intellectual and proprietary rights. Companies in the software industry, including those in marketing software, are often required to defend against litigation claims based on allegations of infringement or other violations of intellectual property rights. Many of our competitors and other industry participants have been issued patents and/or have filed patent applications and may assert patent or other intellectual property rights within the industry.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or notices or may be the subject of claims that our services and/or platform and underlying technology infringe or violate the intellectual property rights of others. Responding to such claims, regardless of their merit, can be time consuming, costly to defend in litigation, divert management’s attention and resources, damage our reputation and brand and cause us to incur significant expenses. Our technologies may not be able to withstand any third-party claims or rights against their use. Claims of intellectual property infringement might require us to redesign our application, delay releases, enter into costly settlement or license agreements or pay costly damage awards, or face a temporary or permanent injunction prohibiting us from marketing or selling our platform. If we cannot or do not license the infringed technology on reasonable terms or at all, or substitute similar technology from another source, our revenue and operating results could be adversely impacted. Additionally, our customers may not purchase our inbound platform if they are concerned that they may infringe third-party intellectual property rights. The occurrence of any of these events may have a material adverse effect on our business.</w:t>
      </w:r>
    </w:p>
    <w:p>
      <w:pPr>
        <w:spacing w:after="0" w:line="149" w:lineRule="exact"/>
        <w:rPr>
          <w:sz w:val="20"/>
          <w:szCs w:val="20"/>
          <w:color w:val="auto"/>
        </w:rPr>
      </w:pPr>
    </w:p>
    <w:p>
      <w:pPr>
        <w:ind w:right="140" w:firstLine="520"/>
        <w:spacing w:after="0" w:line="269" w:lineRule="auto"/>
        <w:rPr>
          <w:sz w:val="20"/>
          <w:szCs w:val="20"/>
          <w:color w:val="auto"/>
        </w:rPr>
      </w:pPr>
      <w:r>
        <w:rPr>
          <w:rFonts w:ascii="Arial" w:cs="Arial" w:eastAsia="Arial" w:hAnsi="Arial"/>
          <w:sz w:val="14"/>
          <w:szCs w:val="14"/>
          <w:color w:val="auto"/>
        </w:rPr>
        <w:t>In our subscription agreements with our customers, we generally do not agree to indemnify our customers against any losses or costs incurred in connection with claims by a third party alleging that a customer’s use of our services or platform infringes the intellectual property rights of the third party. There can be no assurance, however, that customers will not assert a common law indemnity claim or that any existing limitations of liability provisions in our contracts would be enforceable or adequate, or would otherwise protect us from any such liabilities or damages with respect to any particular claim. Our customers who are accused of intellectual property infringement may in the future seek indemnification from us under common law or other legal theories. If such claims are successful, or if we are required to indemnify or defend our customers from these or other claims, these matters could be disruptive to our business and management and have a material adverse effect on our business, operating results and financial condition.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1390" cy="393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60"/>
          </w:cols>
          <w:pgMar w:left="220" w:top="480" w:right="219" w:bottom="1440" w:gutter="0" w:footer="0" w:header="0"/>
        </w:sectPr>
      </w:pPr>
    </w:p>
    <w:bookmarkStart w:id="40" w:name="page41"/>
    <w:bookmarkEnd w:id="40"/>
    <w:p>
      <w:pPr>
        <w:ind w:right="460"/>
        <w:spacing w:after="0" w:line="263" w:lineRule="auto"/>
        <w:rPr>
          <w:sz w:val="20"/>
          <w:szCs w:val="20"/>
          <w:color w:val="auto"/>
        </w:rPr>
      </w:pPr>
      <w:r>
        <w:rPr>
          <w:rFonts w:ascii="Arial" w:cs="Arial" w:eastAsia="Arial" w:hAnsi="Arial"/>
          <w:sz w:val="15"/>
          <w:szCs w:val="15"/>
          <w:b w:val="1"/>
          <w:bCs w:val="1"/>
          <w:i w:val="1"/>
          <w:iCs w:val="1"/>
          <w:color w:val="auto"/>
        </w:rPr>
        <w:t>If we fail to adequately protect our proprietary rights, in the United States and abroad, our competitive position could be impaired and we may lose valuable assets, experience reduced revenue and incur costly litigation to protect our rights.</w:t>
      </w:r>
    </w:p>
    <w:p>
      <w:pPr>
        <w:spacing w:after="0" w:line="61" w:lineRule="exact"/>
        <w:rPr>
          <w:sz w:val="20"/>
          <w:szCs w:val="20"/>
          <w:color w:val="auto"/>
        </w:rPr>
      </w:pPr>
    </w:p>
    <w:p>
      <w:pPr>
        <w:ind w:firstLine="520"/>
        <w:spacing w:after="0" w:line="290" w:lineRule="auto"/>
        <w:rPr>
          <w:sz w:val="20"/>
          <w:szCs w:val="20"/>
          <w:color w:val="auto"/>
        </w:rPr>
      </w:pPr>
      <w:r>
        <w:rPr>
          <w:rFonts w:ascii="Arial" w:cs="Arial" w:eastAsia="Arial" w:hAnsi="Arial"/>
          <w:sz w:val="13"/>
          <w:szCs w:val="13"/>
          <w:color w:val="auto"/>
        </w:rPr>
        <w:t>Our success is dependent, in part, upon protecting our proprietary technology. We rely on a combination of copyrights, trademarks, service marks, trade secret laws and contractual restrictions to establish and protect our proprietary rights in our products and services. However, the steps we take to protect our intellectual property may be inadequate. We will not be able to protect our intellectual property if we are unable to enforce our rights or if we do not detect unauthorized use of our intellectual property. Any of our trademarks or other intellectual property rights may be challenged by others or invalidated through administrative process or litigation. Furthermore, legal standards relating to the validity, enforceability and scope of protection of intellectual property rights are uncertain. Despite our precautions, it may be possible for unauthorized third parties to copy our technology and use information that we regard as proprietary to create products and services that compete with ours. Some license provisions protecting against unauthorized use, copying, transfer and disclosure of our offerings may be unenforceable under the laws of certain jurisdictions and foreign countries. In addition, the laws of some countries do not protect proprietary rights to the same extent as the laws of the United States. To the extent we expand our international activities, our exposure to unauthorized copying and use of our technology and proprietary information may increase.</w:t>
      </w:r>
    </w:p>
    <w:p>
      <w:pPr>
        <w:spacing w:after="0" w:line="135" w:lineRule="exact"/>
        <w:rPr>
          <w:sz w:val="20"/>
          <w:szCs w:val="20"/>
          <w:color w:val="auto"/>
        </w:rPr>
      </w:pPr>
    </w:p>
    <w:p>
      <w:pPr>
        <w:ind w:right="260" w:firstLine="520"/>
        <w:spacing w:after="0" w:line="311" w:lineRule="auto"/>
        <w:rPr>
          <w:sz w:val="20"/>
          <w:szCs w:val="20"/>
          <w:color w:val="auto"/>
        </w:rPr>
      </w:pPr>
      <w:r>
        <w:rPr>
          <w:rFonts w:ascii="Arial" w:cs="Arial" w:eastAsia="Arial" w:hAnsi="Arial"/>
          <w:sz w:val="13"/>
          <w:szCs w:val="13"/>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p>
    <w:p>
      <w:pPr>
        <w:spacing w:after="0" w:line="121" w:lineRule="exact"/>
        <w:rPr>
          <w:sz w:val="20"/>
          <w:szCs w:val="20"/>
          <w:color w:val="auto"/>
        </w:rPr>
      </w:pPr>
    </w:p>
    <w:p>
      <w:pPr>
        <w:ind w:right="160" w:firstLine="520"/>
        <w:spacing w:after="0" w:line="248" w:lineRule="auto"/>
        <w:rPr>
          <w:sz w:val="20"/>
          <w:szCs w:val="20"/>
          <w:color w:val="auto"/>
        </w:rPr>
      </w:pPr>
      <w:r>
        <w:rPr>
          <w:rFonts w:ascii="Arial" w:cs="Arial" w:eastAsia="Arial" w:hAnsi="Arial"/>
          <w:sz w:val="15"/>
          <w:szCs w:val="15"/>
          <w:color w:val="auto"/>
        </w:rPr>
        <w:t>We may be required to spend significant resources to monitor and protect our intellectual property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could delay further sales or the implementation of our platform and offerings, impair the functionality of our platform and offerings, delay introductions of new features or enhancements, result in our substituting inferior or more costly technologies into our platform and offerings, or injure our reputation.</w:t>
      </w: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use of “open source” software could negatively affect our ability to offer our platform and subject us to possible litigation.</w:t>
      </w:r>
    </w:p>
    <w:p>
      <w:pPr>
        <w:spacing w:after="0" w:line="91" w:lineRule="exact"/>
        <w:rPr>
          <w:sz w:val="20"/>
          <w:szCs w:val="20"/>
          <w:color w:val="auto"/>
        </w:rPr>
      </w:pPr>
    </w:p>
    <w:p>
      <w:pPr>
        <w:ind w:right="60" w:firstLine="520"/>
        <w:spacing w:after="0" w:line="266" w:lineRule="auto"/>
        <w:rPr>
          <w:sz w:val="20"/>
          <w:szCs w:val="20"/>
          <w:color w:val="auto"/>
        </w:rPr>
      </w:pPr>
      <w:r>
        <w:rPr>
          <w:rFonts w:ascii="Arial" w:cs="Arial" w:eastAsia="Arial" w:hAnsi="Arial"/>
          <w:sz w:val="14"/>
          <w:szCs w:val="14"/>
          <w:color w:val="auto"/>
        </w:rPr>
        <w:t>A substantial portion of our cloud-based platform incorporates so-called “open source” software, and we may incorporate additional open source software in the future. Open source software is generally freely accessible, usable and modifiable. Certain open source licenses may, in certain circumstances, require us to offer the components of our platform that incorporate the open source software for no cost, that we make available source code for modifications or derivative works we create based upon, incorporating or using the open source software and that we license such modifications or derivative works under the terms of the particular open source license. If an author or other third party that distributes open source software we use were to allege that we had not complied with the conditions of one or more of these licenses, we could be required to incur significant legal expenses defending against such allegations and could be subject to significant damages, including being enjoined from the offering of the components of our platform that contained the open source software and being required to comply with the foregoing conditions, which could disrupt our ability to offer the affected software. We could also be subject to suits by parties claiming ownership of what we believe to be open source software. Litigation could be costly for us to defend, have a negative effect on our operating results and financial condition and require us to devote additional research and development resources to change our products.</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Government Regulation and Taxation</w:t>
      </w: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could face liability, or our reputation might be harmed, as a result of the activities of our customers, the content of their websites or the data they store on our servers.</w:t>
      </w:r>
    </w:p>
    <w:p>
      <w:pPr>
        <w:spacing w:after="0" w:line="102" w:lineRule="exact"/>
        <w:rPr>
          <w:sz w:val="20"/>
          <w:szCs w:val="20"/>
          <w:color w:val="auto"/>
        </w:rPr>
      </w:pPr>
    </w:p>
    <w:p>
      <w:pPr>
        <w:ind w:firstLine="520"/>
        <w:spacing w:after="0" w:line="250" w:lineRule="auto"/>
        <w:rPr>
          <w:sz w:val="20"/>
          <w:szCs w:val="20"/>
          <w:color w:val="auto"/>
        </w:rPr>
      </w:pPr>
      <w:r>
        <w:rPr>
          <w:rFonts w:ascii="Arial" w:cs="Arial" w:eastAsia="Arial" w:hAnsi="Arial"/>
          <w:sz w:val="15"/>
          <w:szCs w:val="15"/>
          <w:color w:val="auto"/>
        </w:rPr>
        <w:t>As a provider of a cloud-based inbound marketing, sales and customer service software platform, we may be subject to potential liability for the activities of our customers on or in connection with the data they store on our servers. Although our customer terms of use prohibit illegal use of our services by our customers and permit us to take down websites or take other appropriate actions for illegal use, customers may nonetheless engage in prohibited activities or upload or store content with us in violation of applicable law or the customer’s own policies, which could subject us to liability or harm our reputation.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1390" cy="393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60"/>
          </w:cols>
          <w:pgMar w:left="220" w:top="568" w:right="219" w:bottom="1440" w:gutter="0" w:footer="0" w:header="0"/>
        </w:sectPr>
      </w:pPr>
    </w:p>
    <w:bookmarkStart w:id="41" w:name="page42"/>
    <w:bookmarkEnd w:id="41"/>
    <w:p>
      <w:pPr>
        <w:ind w:left="520"/>
        <w:spacing w:after="0"/>
        <w:rPr>
          <w:sz w:val="20"/>
          <w:szCs w:val="20"/>
          <w:color w:val="auto"/>
        </w:rPr>
      </w:pPr>
      <w:r>
        <w:rPr>
          <w:rFonts w:ascii="Arial" w:cs="Arial" w:eastAsia="Arial" w:hAnsi="Arial"/>
          <w:sz w:val="15"/>
          <w:szCs w:val="15"/>
          <w:color w:val="auto"/>
        </w:rPr>
        <w:t>Several U.S. federal statutes may apply to us with respect to various customer activities:</w:t>
      </w:r>
    </w:p>
    <w:p>
      <w:pPr>
        <w:spacing w:after="0" w:line="91" w:lineRule="exact"/>
        <w:rPr>
          <w:sz w:val="20"/>
          <w:szCs w:val="20"/>
          <w:color w:val="auto"/>
        </w:rPr>
      </w:pPr>
    </w:p>
    <w:p>
      <w:pPr>
        <w:ind w:left="1040" w:hanging="517"/>
        <w:spacing w:after="0" w:line="247" w:lineRule="auto"/>
        <w:tabs>
          <w:tab w:leader="none" w:pos="10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Digital Millennium Copyright Act of 1998, or DMCA, provides recourse for owners of copyrighted material who believe that their rights under U.S. copyright law have been infringed on the Internet. Under the DMCA, based on our current business activity as an Internet service provider that does not own or control website content posted by our customers, we generally are not liable for infringing content posted by our customers or other third parties, provided that we follow the procedures for handling copyright infringement claims set forth in the DMCA. Generally, if we receive a proper notice from, or on behalf, of a copyright owner alleging infringement of copyrighted material located on websites we host, and we fail to expeditiously remove or disable access to the allegedly infringing material or otherwise fail to meet the requirements of the safe harbor provided by the DMCA, the copyright owner may seek to impose liability on us. Technical mistakes in complying with the detailed DMCA take-down procedures could subject us to liability for copyright infringement.</w:t>
      </w:r>
    </w:p>
    <w:p>
      <w:pPr>
        <w:spacing w:after="0" w:line="73" w:lineRule="exact"/>
        <w:rPr>
          <w:rFonts w:ascii="Arial" w:cs="Arial" w:eastAsia="Arial" w:hAnsi="Arial"/>
          <w:sz w:val="15"/>
          <w:szCs w:val="15"/>
          <w:color w:val="auto"/>
        </w:rPr>
      </w:pPr>
    </w:p>
    <w:p>
      <w:pPr>
        <w:ind w:left="1040" w:right="160" w:hanging="517"/>
        <w:spacing w:after="0" w:line="296" w:lineRule="auto"/>
        <w:tabs>
          <w:tab w:leader="none" w:pos="10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Communications Decency Act of 1996, or CDA, generally protects online service providers, such as us, from liability for certain activities of their customers, such as the posting of defamatory or obscene content, unless the online service provider is participating in the unlawful conduct. Under the CDA, we are generally not responsible for the customer-created content hosted on our servers. Consequently, we do not monitor hosted websites or prescreen the content placed by our customers on their sites. However, the CDA does not apply in foreign jurisdictions and we may nonetheless be brought into disputes between our customers and third parties which would require us to devote management time and resources to resolve such matters and any publicity from such matters could also have an adverse effect on our reputation and therefore our business.</w:t>
      </w:r>
    </w:p>
    <w:p>
      <w:pPr>
        <w:spacing w:after="0" w:line="43" w:lineRule="exact"/>
        <w:rPr>
          <w:rFonts w:ascii="Arial" w:cs="Arial" w:eastAsia="Arial" w:hAnsi="Arial"/>
          <w:sz w:val="13"/>
          <w:szCs w:val="13"/>
          <w:color w:val="auto"/>
        </w:rPr>
      </w:pPr>
    </w:p>
    <w:p>
      <w:pPr>
        <w:ind w:left="1040" w:right="40" w:hanging="517"/>
        <w:spacing w:after="0" w:line="291" w:lineRule="auto"/>
        <w:tabs>
          <w:tab w:leader="none" w:pos="10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 addition to the CDA, the Securing the Protection of our Enduring and Established Constitutional Heritage Act, or the SPEECH Act, provides a statutory exception to the enforcement by a U.S. court of a foreign judgment for defamation under certain circumstances. Generally, the exception applies if the defamation law applied in the foreign court did not provide at least as much protection for freedom of speech and press as would be provided by the First Amendment of the U.S. Constitution or by the constitution and law of the state in which the U.S. court is located, or if no finding of defamation would be supported under the First Amendment of the U.S. Constitution or under the constitution and law of the state in which the U.S. court is located. Although the SPEECH Act may protect us from the enforcement of foreign judgments in the United States, it does not affect the enforceability of the judgment in the foreign country that issued the judgment. Given our international presence, we may therefore, nonetheless, have to defend against or comply with any foreign judgments made against us, which could take up substantial management time and resources and damage our reputation.</w:t>
      </w:r>
    </w:p>
    <w:p>
      <w:pPr>
        <w:spacing w:after="0" w:line="135" w:lineRule="exact"/>
        <w:rPr>
          <w:sz w:val="20"/>
          <w:szCs w:val="20"/>
          <w:color w:val="auto"/>
        </w:rPr>
      </w:pPr>
    </w:p>
    <w:p>
      <w:pPr>
        <w:ind w:right="20" w:firstLine="520"/>
        <w:spacing w:after="0" w:line="296" w:lineRule="auto"/>
        <w:rPr>
          <w:sz w:val="20"/>
          <w:szCs w:val="20"/>
          <w:color w:val="auto"/>
        </w:rPr>
      </w:pPr>
      <w:r>
        <w:rPr>
          <w:rFonts w:ascii="Arial" w:cs="Arial" w:eastAsia="Arial" w:hAnsi="Arial"/>
          <w:sz w:val="13"/>
          <w:szCs w:val="13"/>
          <w:color w:val="auto"/>
        </w:rPr>
        <w:t>Although these statutes and case law in the United States have generally shielded us from liability for customer activities to date, court rulings in pending or future litigation may narrow the scope of protection afforded us under these laws. In addition, laws governing these activities are unsettled in many international jurisdictions, or may prove difficult or impossible for us to comply with in some international jurisdictions. Also, notwithstanding the exculpatory language of these bodies of law, we may become involved in complaints and lawsuits which, even if ultimately resolved in our favor, add cost to our doing business and may divert management’s time and attention. Finally, other existing bodies of law, including the criminal laws of various states, may be deemed to apply or new statutes or regulations may be adopted in the future, any of which could expose us to further liability and increase our costs of doing business.</w:t>
      </w:r>
    </w:p>
    <w:p>
      <w:pPr>
        <w:spacing w:after="0" w:line="21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be subject to additional obligations to collect and remit sales tax and other taxes, and we may be subject to tax liability for past sales, which could harm our business.</w:t>
      </w:r>
    </w:p>
    <w:p>
      <w:pPr>
        <w:spacing w:after="0" w:line="114" w:lineRule="exact"/>
        <w:rPr>
          <w:sz w:val="20"/>
          <w:szCs w:val="20"/>
          <w:color w:val="auto"/>
        </w:rPr>
      </w:pPr>
    </w:p>
    <w:p>
      <w:pPr>
        <w:ind w:firstLine="520"/>
        <w:spacing w:after="0" w:line="296" w:lineRule="auto"/>
        <w:rPr>
          <w:sz w:val="20"/>
          <w:szCs w:val="20"/>
          <w:color w:val="auto"/>
        </w:rPr>
      </w:pPr>
      <w:r>
        <w:rPr>
          <w:rFonts w:ascii="Arial" w:cs="Arial" w:eastAsia="Arial" w:hAnsi="Arial"/>
          <w:sz w:val="13"/>
          <w:szCs w:val="13"/>
          <w:color w:val="auto"/>
        </w:rPr>
        <w:t>State, local and foreign jurisdictions have differing rules and regulations governing sales, use, value added and other taxes, and these rules and regulations are subject to varying interpretations that may change over time. In particular, the applicability of such taxes to our inbound platform in various jurisdictions is unclear. Further, these jurisdictions’ rules regarding tax nexus are complex and vary significantly. As a result, we could face the possibility of tax assessments and audits, and our liability for these taxes and associated penalties could exceed our original estimates. A successful assertion that we should be collecting additional sales, use, value added or other taxes in those jurisdictions where we have not historically done so and do not accrue for such taxes could result in substantial tax liabilities and related penalties for past sales, discourage customers from purchasing our application or otherwise harm our business and operating results.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tax laws or regulations that are applied adversely to us or our customers could increase the costs of our inbound platform and adversely impact our business.</w:t>
      </w:r>
    </w:p>
    <w:p>
      <w:pPr>
        <w:spacing w:after="0" w:line="102" w:lineRule="exact"/>
        <w:rPr>
          <w:sz w:val="20"/>
          <w:szCs w:val="20"/>
          <w:color w:val="auto"/>
        </w:rPr>
      </w:pPr>
    </w:p>
    <w:p>
      <w:pPr>
        <w:ind w:right="340" w:firstLine="520"/>
        <w:spacing w:after="0" w:line="263" w:lineRule="auto"/>
        <w:rPr>
          <w:sz w:val="20"/>
          <w:szCs w:val="20"/>
          <w:color w:val="auto"/>
        </w:rPr>
      </w:pPr>
      <w:r>
        <w:rPr>
          <w:rFonts w:ascii="Arial" w:cs="Arial" w:eastAsia="Arial" w:hAnsi="Arial"/>
          <w:sz w:val="15"/>
          <w:szCs w:val="15"/>
          <w:color w:val="auto"/>
        </w:rPr>
        <w:t>New income, sales, use or other tax laws, statutes, rules, regulations or ordinances could be enacted at any time. Any new taxes could adversely affect our domestic and international business operations, and our business and financial performance. Further,</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1390" cy="393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60"/>
          </w:cols>
          <w:pgMar w:left="220" w:top="480" w:right="219" w:bottom="1440" w:gutter="0" w:footer="0" w:header="0"/>
        </w:sectPr>
      </w:pPr>
    </w:p>
    <w:bookmarkStart w:id="42" w:name="page43"/>
    <w:bookmarkEnd w:id="42"/>
    <w:p>
      <w:pPr>
        <w:ind w:right="20"/>
        <w:spacing w:after="0" w:line="249" w:lineRule="auto"/>
        <w:rPr>
          <w:sz w:val="20"/>
          <w:szCs w:val="20"/>
          <w:color w:val="auto"/>
        </w:rPr>
      </w:pPr>
      <w:r>
        <w:rPr>
          <w:rFonts w:ascii="Arial" w:cs="Arial" w:eastAsia="Arial" w:hAnsi="Arial"/>
          <w:sz w:val="15"/>
          <w:szCs w:val="15"/>
          <w:color w:val="auto"/>
        </w:rPr>
        <w:t>existing tax laws, statutes, rules, regulations or ordinances could be interpreted, changed, modified or applied adversely to us. These events could require us or our customers to pay additional tax amounts on a prospective or retroactive basis, as well as require us or our customers to pay fines and/or penalties and interest for past amounts deemed to be due. If we raise our prices to offset the costs of these changes, existing and potential future customers may elect not to continue or purchase our inbound platform in the future. Additionally, new, changed, modified or newly interpreted or applied tax laws could increase our customers’ and our compliance, operating and other costs, as well as the costs of our platform. Any or all of these events could adversely impact our business and financial performance.</w:t>
      </w: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a multinational organization faced with increasingly complex tax issues in many jurisdictions, and we could be obligated to pay additional taxes in various jurisdictions.</w:t>
      </w:r>
    </w:p>
    <w:p>
      <w:pPr>
        <w:spacing w:after="0" w:line="114" w:lineRule="exact"/>
        <w:rPr>
          <w:sz w:val="20"/>
          <w:szCs w:val="20"/>
          <w:color w:val="auto"/>
        </w:rPr>
      </w:pPr>
    </w:p>
    <w:p>
      <w:pPr>
        <w:ind w:firstLine="520"/>
        <w:spacing w:after="0" w:line="247" w:lineRule="auto"/>
        <w:rPr>
          <w:sz w:val="20"/>
          <w:szCs w:val="20"/>
          <w:color w:val="auto"/>
        </w:rPr>
      </w:pPr>
      <w:r>
        <w:rPr>
          <w:rFonts w:ascii="Arial" w:cs="Arial" w:eastAsia="Arial" w:hAnsi="Arial"/>
          <w:sz w:val="15"/>
          <w:szCs w:val="15"/>
          <w:color w:val="auto"/>
        </w:rPr>
        <w:t>As a multinational organization,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which could have a material adverse effect on our liquidity and operating results. Changes in tax laws, such as tax reform in the United States or changes in tax laws resulting from the Organization for Economic Co-operation and Development’s multi-jurisdictional plan of action to address “base erosion and profit shifting,” could impact our effective tax rate.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any of which could have a material impact on us and the results of our operations.</w:t>
      </w: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to comply with laws and regulations could harm our business.</w:t>
      </w:r>
    </w:p>
    <w:p>
      <w:pPr>
        <w:spacing w:after="0" w:line="91" w:lineRule="exact"/>
        <w:rPr>
          <w:sz w:val="20"/>
          <w:szCs w:val="20"/>
          <w:color w:val="auto"/>
        </w:rPr>
      </w:pPr>
    </w:p>
    <w:p>
      <w:pPr>
        <w:ind w:right="40" w:firstLine="520"/>
        <w:spacing w:after="0" w:line="274" w:lineRule="auto"/>
        <w:rPr>
          <w:sz w:val="20"/>
          <w:szCs w:val="20"/>
          <w:color w:val="auto"/>
        </w:rPr>
      </w:pPr>
      <w:r>
        <w:rPr>
          <w:rFonts w:ascii="Arial" w:cs="Arial" w:eastAsia="Arial" w:hAnsi="Arial"/>
          <w:sz w:val="14"/>
          <w:szCs w:val="14"/>
          <w:color w:val="auto"/>
        </w:rPr>
        <w:t>Our business is subject to regulation by various federal, state, local and foreign governmental agencies, including agencies responsible for monitoring and enforcing employment and labor laws, workplace safety, environmental laws, consumer protection laws, anti-bribery laws, import/export controls, federal securities laws and tax laws and regulations. In certain jurisdictions, these regulatory requirements may be more stringent than those in the United States. Noncompliance with applicable regulations or requirements could subject us to investigations, sanctions, mandatory recalls, enforcement actions, disgorgement of profits, fines, damages, civil and criminal penalties or injunctions.</w:t>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Comprehensive Tax Reform Legislation Could Adversely Affect Our Business And Financial Condition.</w:t>
      </w:r>
    </w:p>
    <w:p>
      <w:pPr>
        <w:spacing w:after="0" w:line="179" w:lineRule="exact"/>
        <w:rPr>
          <w:sz w:val="20"/>
          <w:szCs w:val="20"/>
          <w:color w:val="auto"/>
        </w:rPr>
      </w:pPr>
    </w:p>
    <w:p>
      <w:pPr>
        <w:ind w:right="20" w:firstLine="329"/>
        <w:spacing w:after="0" w:line="271" w:lineRule="auto"/>
        <w:rPr>
          <w:sz w:val="20"/>
          <w:szCs w:val="20"/>
          <w:color w:val="auto"/>
        </w:rPr>
      </w:pPr>
      <w:r>
        <w:rPr>
          <w:rFonts w:ascii="Arial" w:cs="Arial" w:eastAsia="Arial" w:hAnsi="Arial"/>
          <w:sz w:val="14"/>
          <w:szCs w:val="14"/>
          <w:color w:val="auto"/>
        </w:rPr>
        <w:t>The U.S. government has recently enacted comprehensive tax legislation that includes significant changes to the taxation of business entities, referenced herein as the Tax Reform Act. These changes include, among others, a permanent reduction to the corporate income tax rate, limiting interest deductions, allowing for the expensing of capital expenditures, and putting into effect the migration from a “worldwide” system of taxation to a territorial system. The overall impact of this tax reform is uncertain, and it is possible that our business and financial condition could be adversely affected. We continue to examine the impact this tax reform legislation may have on our business. We urge our shareholders to consult with their legal and tax advisors with respect to any such legislation and the potential tax consequences of investing in our ordinary shares.</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utilize a significant portion of our net operating loss carryforwards, which could adversely affect our profitability.</w:t>
      </w:r>
    </w:p>
    <w:p>
      <w:pPr>
        <w:spacing w:after="0" w:line="91" w:lineRule="exact"/>
        <w:rPr>
          <w:sz w:val="20"/>
          <w:szCs w:val="20"/>
          <w:color w:val="auto"/>
        </w:rPr>
      </w:pPr>
    </w:p>
    <w:p>
      <w:pPr>
        <w:ind w:right="20" w:firstLine="520"/>
        <w:spacing w:after="0" w:line="290" w:lineRule="auto"/>
        <w:rPr>
          <w:sz w:val="20"/>
          <w:szCs w:val="20"/>
          <w:color w:val="auto"/>
        </w:rPr>
      </w:pPr>
      <w:r>
        <w:rPr>
          <w:rFonts w:ascii="Arial" w:cs="Arial" w:eastAsia="Arial" w:hAnsi="Arial"/>
          <w:sz w:val="13"/>
          <w:szCs w:val="13"/>
          <w:color w:val="auto"/>
        </w:rPr>
        <w:t>As of December 31, 2017, we had federal and state net operating loss carryforwards due to prior period losses, which, if not utilized, will begin to expire in 2027 for federal purposes and begin to expire in 2023 for state purposes. These net operating loss carryforwards could expire unused and be unavailable to offset future income tax liabilities, which could adversely affect our profitability. In addition, under Section 382 of the Internal Revenue Code of 1986, as amended, which we refer to as the Code, our ability to utilize net operating loss carryforwards or other tax attributes, such as research tax credits, in any taxable year may be further limited if we experience an ownership change.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Future issuances of our stock could cause an ownership change. It is possible that an ownership change in connection with a future offering, or any future ownership change, could have a material effect on the use of our net operating loss carryforwards or other tax attributes, which could adversely affect our profitability. Net operating loss carryforwards incurred for periods beginning on or after January 1, 2018, are not subject to these limitations.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1390" cy="39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60"/>
          </w:cols>
          <w:pgMar w:left="220" w:top="392" w:right="219" w:bottom="1440" w:gutter="0" w:footer="0" w:header="0"/>
        </w:sectPr>
      </w:pPr>
    </w:p>
    <w:bookmarkStart w:id="43" w:name="page44"/>
    <w:bookmarkEnd w:id="43"/>
    <w:p>
      <w:pPr>
        <w:ind w:right="280"/>
        <w:spacing w:after="0" w:line="263" w:lineRule="auto"/>
        <w:rPr>
          <w:sz w:val="20"/>
          <w:szCs w:val="20"/>
          <w:color w:val="auto"/>
        </w:rPr>
      </w:pPr>
      <w:r>
        <w:rPr>
          <w:rFonts w:ascii="Arial" w:cs="Arial" w:eastAsia="Arial" w:hAnsi="Arial"/>
          <w:sz w:val="15"/>
          <w:szCs w:val="15"/>
          <w:b w:val="1"/>
          <w:bCs w:val="1"/>
          <w:i w:val="1"/>
          <w:iCs w:val="1"/>
          <w:color w:val="auto"/>
        </w:rPr>
        <w:t>The standards that private entities use to regulate the use of email have in the past interfered with, and may in the future interfere with, the effectiveness of our inbound platform and our ability to conduct business.</w:t>
      </w:r>
    </w:p>
    <w:p>
      <w:pPr>
        <w:spacing w:after="0" w:line="61" w:lineRule="exact"/>
        <w:rPr>
          <w:sz w:val="20"/>
          <w:szCs w:val="20"/>
          <w:color w:val="auto"/>
        </w:rPr>
      </w:pPr>
    </w:p>
    <w:p>
      <w:pPr>
        <w:ind w:right="140" w:firstLine="520"/>
        <w:spacing w:after="0" w:line="248" w:lineRule="auto"/>
        <w:rPr>
          <w:sz w:val="20"/>
          <w:szCs w:val="20"/>
          <w:color w:val="auto"/>
        </w:rPr>
      </w:pPr>
      <w:r>
        <w:rPr>
          <w:rFonts w:ascii="Arial" w:cs="Arial" w:eastAsia="Arial" w:hAnsi="Arial"/>
          <w:sz w:val="15"/>
          <w:szCs w:val="15"/>
          <w:color w:val="auto"/>
        </w:rPr>
        <w:t>Our customers rely on email to communicate with their existing or prospective customers. Various private entities attempt to regulate the use of email for commercial solicitation. These entities often advocate standards of conduct or practice that significantly exceed current legal requirements and classify certain email solicitations that comply with current legal requirements as spam. Some of these entities maintain “blacklists” of companies and individuals, and the websites, internet service providers and internet protocol addresses associated with those entities or individuals that do not adhere to those standards of conduct or practices for commercial email solicitations that the blacklisting entity believes are appropriate. If a company’s internet protocol addresses are listed by a blacklisting entity, emails sent from those addresses may be blocked if they are sent to any internet domain or internet address that subscribes to the blacklisting entity’s service or purchases its blacklist.</w:t>
      </w:r>
    </w:p>
    <w:p>
      <w:pPr>
        <w:spacing w:after="0" w:line="159" w:lineRule="exact"/>
        <w:rPr>
          <w:sz w:val="20"/>
          <w:szCs w:val="20"/>
          <w:color w:val="auto"/>
        </w:rPr>
      </w:pPr>
    </w:p>
    <w:p>
      <w:pPr>
        <w:ind w:right="100" w:firstLine="520"/>
        <w:spacing w:after="0" w:line="250" w:lineRule="auto"/>
        <w:rPr>
          <w:sz w:val="20"/>
          <w:szCs w:val="20"/>
          <w:color w:val="auto"/>
        </w:rPr>
      </w:pPr>
      <w:r>
        <w:rPr>
          <w:rFonts w:ascii="Arial" w:cs="Arial" w:eastAsia="Arial" w:hAnsi="Arial"/>
          <w:sz w:val="15"/>
          <w:szCs w:val="15"/>
          <w:color w:val="auto"/>
        </w:rPr>
        <w:t>From time to time, some of our internet protocol addresses may become listed with one or more blacklisting entities due to the messaging practices of our customers. There can be no guarantee that we will be able to successfully remove ourselves from those lists. Blacklisting of this type could interfere with our ability to market our inbound platform and services and communicate with our customers and, because we fulfill email delivery on behalf of our customers, could undermine the effectiveness of our customers’ email marketing campaigns, all of which could have a material negative impact on our business and results of operations.</w:t>
      </w:r>
    </w:p>
    <w:p>
      <w:pPr>
        <w:spacing w:after="0" w:line="247"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b w:val="1"/>
          <w:bCs w:val="1"/>
          <w:i w:val="1"/>
          <w:iCs w:val="1"/>
          <w:color w:val="auto"/>
        </w:rPr>
        <w:t>Existing federal, state and foreign laws regulate Internet tracking software, the senders of commercial emails and text messages, website owners and other activities, and could impact the use of our inbound platform and potentially subject us to regulatory enforcement or private litigation.</w:t>
      </w:r>
    </w:p>
    <w:p>
      <w:pPr>
        <w:spacing w:after="0" w:line="61" w:lineRule="exact"/>
        <w:rPr>
          <w:sz w:val="20"/>
          <w:szCs w:val="20"/>
          <w:color w:val="auto"/>
        </w:rPr>
      </w:pPr>
    </w:p>
    <w:p>
      <w:pPr>
        <w:ind w:right="180" w:firstLine="520"/>
        <w:spacing w:after="0" w:line="267" w:lineRule="auto"/>
        <w:rPr>
          <w:sz w:val="20"/>
          <w:szCs w:val="20"/>
          <w:color w:val="auto"/>
        </w:rPr>
      </w:pPr>
      <w:r>
        <w:rPr>
          <w:rFonts w:ascii="Arial" w:cs="Arial" w:eastAsia="Arial" w:hAnsi="Arial"/>
          <w:sz w:val="14"/>
          <w:szCs w:val="14"/>
          <w:color w:val="auto"/>
        </w:rPr>
        <w:t>Certain aspects of how our customers utilize our platform are subject to regulations in the United States, European Union and elsewhere. In recent years, U.S. and European lawmakers and regulators have expressed concern over the use of third-party cookies or web beacons for online behavioral advertising, and legislation adopted recently in the European Union requires informed consent for the placement of a cookie on a user’s device. Regulation of cookies and web beacons may lead to restrictions on our activities, such as efforts to understand users’ Internet usage. New and expanding “Do Not Track” regulations have recently been enacted or proposed that protect users’ right to choose whether or not to be tracked online. These regulations seek, among other things, to allow end users to have greater control over the use of private information collected online, to forbid the collection or use of online information, to demand a business to comply with their choice to opt out of such collection or use, and to place limits upon the disclosure of information to third party websites. These policies could have a significant impact on the operation of our inbound platform and could impair our attractiveness to customers, which would harm our business.</w:t>
      </w:r>
    </w:p>
    <w:p>
      <w:pPr>
        <w:spacing w:after="0" w:line="150" w:lineRule="exact"/>
        <w:rPr>
          <w:sz w:val="20"/>
          <w:szCs w:val="20"/>
          <w:color w:val="auto"/>
        </w:rPr>
      </w:pPr>
    </w:p>
    <w:p>
      <w:pPr>
        <w:ind w:right="80" w:firstLine="520"/>
        <w:spacing w:after="0" w:line="274" w:lineRule="auto"/>
        <w:rPr>
          <w:sz w:val="20"/>
          <w:szCs w:val="20"/>
          <w:color w:val="auto"/>
        </w:rPr>
      </w:pPr>
      <w:r>
        <w:rPr>
          <w:rFonts w:ascii="Arial" w:cs="Arial" w:eastAsia="Arial" w:hAnsi="Arial"/>
          <w:sz w:val="14"/>
          <w:szCs w:val="14"/>
          <w:color w:val="auto"/>
        </w:rPr>
        <w:t>Many of our customers and potential customers in the healthcare, financial services and other industries are subject to substantial regulation regarding their collection, use and protection of data and may be the subject of further regulation in the future. Accordingly, these laws or significant new laws or regulations or changes in, or repeals of, existing laws, regulations or governmental policy may change the way these customers do business and may require us to implement additional features or offer additional contractual terms to satisfy customer and regulatory requirements, or could cause the demand for and sales of our inbound platform to decrease and adversely impact our financial results.</w:t>
      </w:r>
    </w:p>
    <w:p>
      <w:pPr>
        <w:spacing w:after="0" w:line="142" w:lineRule="exact"/>
        <w:rPr>
          <w:sz w:val="20"/>
          <w:szCs w:val="20"/>
          <w:color w:val="auto"/>
        </w:rPr>
      </w:pPr>
    </w:p>
    <w:p>
      <w:pPr>
        <w:ind w:right="80" w:firstLine="520"/>
        <w:spacing w:after="0" w:line="267" w:lineRule="auto"/>
        <w:rPr>
          <w:sz w:val="20"/>
          <w:szCs w:val="20"/>
          <w:color w:val="auto"/>
        </w:rPr>
      </w:pPr>
      <w:r>
        <w:rPr>
          <w:rFonts w:ascii="Arial" w:cs="Arial" w:eastAsia="Arial" w:hAnsi="Arial"/>
          <w:sz w:val="14"/>
          <w:szCs w:val="14"/>
          <w:color w:val="auto"/>
        </w:rPr>
        <w:t>In addition, the Controlling the Assault of Non-Solicited Pornography and Marketing Act of 2003, or the CAN-SPAM Act, establishes certain requirements for commercial email messages and specifies penalties for the transmission of commercial email messages that are intended to deceive the recipient as to source or content. The CAN-SPAM Act, among other things, obligates the sender of commercial emails to provide recipients with the ability to opt out of receiving future commercial emails from the sender. The ability of our customers’ message recipients to opt out of receiving commercial emails may minimize the effectiveness of the email components of our inbound platform. In addition, certain states and foreign jurisdictions, such as Australia, Canada and the European Union, have enacted laws that regulate sending email, and some of these laws are more restrictive than U.S. laws. For example, some foreign laws prohibit sending unsolicited email unless the recipient has provided the sender advance consent to receipt of such email, or in other words has “opted-in” to receiving it. A requirement that recipients opt into, or the ability of recipients to opt out of, receiving commercial emails may minimize the effectiveness of our platform.</w:t>
      </w:r>
    </w:p>
    <w:p>
      <w:pPr>
        <w:spacing w:after="0" w:line="150" w:lineRule="exact"/>
        <w:rPr>
          <w:sz w:val="20"/>
          <w:szCs w:val="20"/>
          <w:color w:val="auto"/>
        </w:rPr>
      </w:pPr>
    </w:p>
    <w:p>
      <w:pPr>
        <w:ind w:firstLine="520"/>
        <w:spacing w:after="0" w:line="296" w:lineRule="auto"/>
        <w:rPr>
          <w:sz w:val="20"/>
          <w:szCs w:val="20"/>
          <w:color w:val="auto"/>
        </w:rPr>
      </w:pPr>
      <w:r>
        <w:rPr>
          <w:rFonts w:ascii="Arial" w:cs="Arial" w:eastAsia="Arial" w:hAnsi="Arial"/>
          <w:sz w:val="13"/>
          <w:szCs w:val="13"/>
          <w:color w:val="auto"/>
        </w:rPr>
        <w:t>While these laws and regulations generally govern our customers’ use of our platform, we may be subject to certain laws as a data processor on behalf of, or as a business associate of, our customers. For example, laws and regulations governing the collection, use and disclosure of personal information include, in the United States, rules and regulations promulgated under the authority of the Federal Trade Commission, the Health Insurance Portability and Accountability Act of 1996, the Gramm-Leach-Bliley Act of 1999 and state breach notification laws, and internationally, the Data Protection Directive in the European Union and the Federal Data Protection Act in Germany. If we were found to be in violation of any of these laws or regulations as a result of government enforcement or private litigation, we could be subjected to civil and criminal sanctions, including both monetary fines and injunctive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1390" cy="39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60"/>
          </w:cols>
          <w:pgMar w:left="220" w:top="568" w:right="219" w:bottom="1440" w:gutter="0" w:footer="0" w:header="0"/>
        </w:sectPr>
      </w:pPr>
    </w:p>
    <w:bookmarkStart w:id="44" w:name="page45"/>
    <w:bookmarkEnd w:id="44"/>
    <w:p>
      <w:pPr>
        <w:spacing w:after="0"/>
        <w:rPr>
          <w:sz w:val="20"/>
          <w:szCs w:val="20"/>
          <w:color w:val="auto"/>
        </w:rPr>
      </w:pPr>
      <w:r>
        <w:rPr>
          <w:rFonts w:ascii="Arial" w:cs="Arial" w:eastAsia="Arial" w:hAnsi="Arial"/>
          <w:sz w:val="14"/>
          <w:szCs w:val="14"/>
          <w:color w:val="auto"/>
        </w:rPr>
        <w:t>action that could force us to change our business practices, all of which could adversely affect our financial performance and significantly harm our reputation and our business.</w:t>
      </w:r>
    </w:p>
    <w:p>
      <w:pPr>
        <w:spacing w:after="0" w:line="278" w:lineRule="exact"/>
        <w:rPr>
          <w:sz w:val="20"/>
          <w:szCs w:val="20"/>
          <w:color w:val="auto"/>
        </w:rPr>
      </w:pPr>
    </w:p>
    <w:p>
      <w:pPr>
        <w:ind w:right="180"/>
        <w:spacing w:after="0" w:line="263" w:lineRule="auto"/>
        <w:rPr>
          <w:sz w:val="20"/>
          <w:szCs w:val="20"/>
          <w:color w:val="auto"/>
        </w:rPr>
      </w:pPr>
      <w:r>
        <w:rPr>
          <w:rFonts w:ascii="Arial" w:cs="Arial" w:eastAsia="Arial" w:hAnsi="Arial"/>
          <w:sz w:val="15"/>
          <w:szCs w:val="15"/>
          <w:b w:val="1"/>
          <w:bCs w:val="1"/>
          <w:i w:val="1"/>
          <w:iCs w:val="1"/>
          <w:color w:val="auto"/>
        </w:rPr>
        <w:t>We are subject to governmental export controls and economic sanctions laws that could impair our ability to compete in international markets and subject us to liability if we are not in full compliance with applicable laws.</w:t>
      </w:r>
    </w:p>
    <w:p>
      <w:pPr>
        <w:spacing w:after="0" w:line="61" w:lineRule="exact"/>
        <w:rPr>
          <w:sz w:val="20"/>
          <w:szCs w:val="20"/>
          <w:color w:val="auto"/>
        </w:rPr>
      </w:pPr>
    </w:p>
    <w:p>
      <w:pPr>
        <w:ind w:firstLine="520"/>
        <w:spacing w:after="0" w:line="267" w:lineRule="auto"/>
        <w:rPr>
          <w:sz w:val="20"/>
          <w:szCs w:val="20"/>
          <w:color w:val="auto"/>
        </w:rPr>
      </w:pPr>
      <w:r>
        <w:rPr>
          <w:rFonts w:ascii="Arial" w:cs="Arial" w:eastAsia="Arial" w:hAnsi="Arial"/>
          <w:sz w:val="14"/>
          <w:szCs w:val="14"/>
          <w:color w:val="auto"/>
        </w:rPr>
        <w:t>Our business activities are subject to various restrictions under U.S. export controls and trade and economic sanctions laws, including the U.S. Commerce Department’s Export Administration Regulations and economic and trade sanctions regulations maintained by the U.S. Treasury Department’s Office of Foreign Assets Control. If we fail to comply with these laws and regulations, we and certain of our employees could be subject to civil or criminal penalties and reputational harm. Obtaining the necessary authorizations, including any required license, for a particular transaction may be time-consuming, is not guaranteed, and may result in the delay or loss of sales opportunities. Furthermore, U.S. export control laws and economic sanctions laws prohibit certain transactions with U.S. embargoed or sanctioned countries, governments, persons and entities. Although we take precautions to prevent transactions with U.S. sanction targets, the possibility exists that we could inadvertently provide our solutions to persons prohibited by U.S. sanctions. This could result in negative consequences to us, including government investigations, penalties and reputational harm.</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Our Operating Results and Financial Condition</w:t>
      </w:r>
    </w:p>
    <w:p>
      <w:pPr>
        <w:spacing w:after="0" w:line="95" w:lineRule="exact"/>
        <w:rPr>
          <w:sz w:val="20"/>
          <w:szCs w:val="20"/>
          <w:color w:val="auto"/>
        </w:rPr>
      </w:pPr>
    </w:p>
    <w:p>
      <w:pPr>
        <w:ind w:right="100"/>
        <w:spacing w:after="0" w:line="263" w:lineRule="auto"/>
        <w:rPr>
          <w:sz w:val="20"/>
          <w:szCs w:val="20"/>
          <w:color w:val="auto"/>
        </w:rPr>
      </w:pPr>
      <w:r>
        <w:rPr>
          <w:rFonts w:ascii="Arial" w:cs="Arial" w:eastAsia="Arial" w:hAnsi="Arial"/>
          <w:sz w:val="15"/>
          <w:szCs w:val="15"/>
          <w:b w:val="1"/>
          <w:bCs w:val="1"/>
          <w:i w:val="1"/>
          <w:iCs w:val="1"/>
          <w:color w:val="auto"/>
        </w:rPr>
        <w:t>We may experience quarterly fluctuations in our operating results due to a number of factors, which makes our future results difficult to predict and could cause our operating results to fall below expectations or our guidance.</w:t>
      </w:r>
    </w:p>
    <w:p>
      <w:pPr>
        <w:spacing w:after="0" w:line="61" w:lineRule="exact"/>
        <w:rPr>
          <w:sz w:val="20"/>
          <w:szCs w:val="20"/>
          <w:color w:val="auto"/>
        </w:rPr>
      </w:pPr>
    </w:p>
    <w:p>
      <w:pPr>
        <w:ind w:right="40" w:firstLine="520"/>
        <w:spacing w:after="0" w:line="253" w:lineRule="auto"/>
        <w:rPr>
          <w:sz w:val="20"/>
          <w:szCs w:val="20"/>
          <w:color w:val="auto"/>
        </w:rPr>
      </w:pPr>
      <w:r>
        <w:rPr>
          <w:rFonts w:ascii="Arial" w:cs="Arial" w:eastAsia="Arial" w:hAnsi="Arial"/>
          <w:sz w:val="15"/>
          <w:szCs w:val="15"/>
          <w:color w:val="auto"/>
        </w:rPr>
        <w:t>Our quarterly operating results have fluctuated in the past and are expected to fluctuate in the future due to a variety of factors, many of which are outside of our control. As a result, our past results may not be indicative of our future performance, and comparing our operating results on a period-to-period basis may not be meaningful. In addition to the other risks described in this Quarterly Report on Form 10-Q, factors that may affect our quarterly operating results include the following:</w:t>
      </w:r>
    </w:p>
    <w:p>
      <w:pPr>
        <w:spacing w:after="0" w:line="69" w:lineRule="exact"/>
        <w:rPr>
          <w:sz w:val="20"/>
          <w:szCs w:val="20"/>
          <w:color w:val="auto"/>
        </w:rPr>
      </w:pPr>
    </w:p>
    <w:p>
      <w:pPr>
        <w:ind w:left="1040" w:hanging="517"/>
        <w:spacing w:after="0"/>
        <w:tabs>
          <w:tab w:leader="none" w:pos="10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changes in spending on marketing, sales and customer service software by our current or prospective customers;</w:t>
      </w:r>
    </w:p>
    <w:p>
      <w:pPr>
        <w:spacing w:after="0" w:line="90" w:lineRule="exact"/>
        <w:rPr>
          <w:rFonts w:ascii="Arial" w:cs="Arial" w:eastAsia="Arial" w:hAnsi="Arial"/>
          <w:sz w:val="15"/>
          <w:szCs w:val="15"/>
          <w:color w:val="auto"/>
        </w:rPr>
      </w:pPr>
    </w:p>
    <w:p>
      <w:pPr>
        <w:ind w:left="1040" w:hanging="517"/>
        <w:spacing w:after="0"/>
        <w:tabs>
          <w:tab w:leader="none" w:pos="10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pricing our inbound platform subscriptions effectively so that we are able to attract and retain customers without compromising our profitability;</w:t>
      </w:r>
    </w:p>
    <w:p>
      <w:pPr>
        <w:spacing w:after="0" w:line="90" w:lineRule="exact"/>
        <w:rPr>
          <w:rFonts w:ascii="Arial" w:cs="Arial" w:eastAsia="Arial" w:hAnsi="Arial"/>
          <w:sz w:val="15"/>
          <w:szCs w:val="15"/>
          <w:color w:val="auto"/>
        </w:rPr>
      </w:pPr>
    </w:p>
    <w:p>
      <w:pPr>
        <w:ind w:left="1040" w:right="460" w:hanging="517"/>
        <w:spacing w:after="0" w:line="263" w:lineRule="auto"/>
        <w:tabs>
          <w:tab w:leader="none" w:pos="10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attracting new customers for our marketing, sales and customer service software, increasing our existing customers’ use of our platform and providing our customers with excellent customer support;</w:t>
      </w:r>
    </w:p>
    <w:p>
      <w:pPr>
        <w:spacing w:after="0" w:line="60" w:lineRule="exact"/>
        <w:rPr>
          <w:rFonts w:ascii="Arial" w:cs="Arial" w:eastAsia="Arial" w:hAnsi="Arial"/>
          <w:sz w:val="15"/>
          <w:szCs w:val="15"/>
          <w:color w:val="auto"/>
        </w:rPr>
      </w:pPr>
    </w:p>
    <w:p>
      <w:pPr>
        <w:ind w:left="1040" w:hanging="517"/>
        <w:spacing w:after="0"/>
        <w:tabs>
          <w:tab w:leader="none" w:pos="10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customer renewal rates and the amounts for which agreements are renewed;</w:t>
      </w:r>
    </w:p>
    <w:p>
      <w:pPr>
        <w:spacing w:after="0" w:line="90" w:lineRule="exact"/>
        <w:rPr>
          <w:rFonts w:ascii="Arial" w:cs="Arial" w:eastAsia="Arial" w:hAnsi="Arial"/>
          <w:sz w:val="15"/>
          <w:szCs w:val="15"/>
          <w:color w:val="auto"/>
        </w:rPr>
      </w:pPr>
    </w:p>
    <w:p>
      <w:pPr>
        <w:ind w:left="1040" w:hanging="517"/>
        <w:spacing w:after="0"/>
        <w:tabs>
          <w:tab w:leader="none" w:pos="10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global awareness of our thought leadership and brand;</w:t>
      </w:r>
    </w:p>
    <w:p>
      <w:pPr>
        <w:spacing w:after="0" w:line="90" w:lineRule="exact"/>
        <w:rPr>
          <w:rFonts w:ascii="Arial" w:cs="Arial" w:eastAsia="Arial" w:hAnsi="Arial"/>
          <w:sz w:val="15"/>
          <w:szCs w:val="15"/>
          <w:color w:val="auto"/>
        </w:rPr>
      </w:pPr>
    </w:p>
    <w:p>
      <w:pPr>
        <w:ind w:left="1040" w:hanging="517"/>
        <w:spacing w:after="0"/>
        <w:tabs>
          <w:tab w:leader="none" w:pos="10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changes in the competitive dynamics of our market, including consolidation among competitors or customers and the introduction of new products or product enhancements;</w:t>
      </w:r>
    </w:p>
    <w:p>
      <w:pPr>
        <w:spacing w:after="0" w:line="113" w:lineRule="exact"/>
        <w:rPr>
          <w:rFonts w:ascii="Arial" w:cs="Arial" w:eastAsia="Arial" w:hAnsi="Arial"/>
          <w:sz w:val="13"/>
          <w:szCs w:val="13"/>
          <w:color w:val="auto"/>
        </w:rPr>
      </w:pPr>
    </w:p>
    <w:p>
      <w:pPr>
        <w:ind w:left="1040" w:hanging="517"/>
        <w:spacing w:after="0"/>
        <w:tabs>
          <w:tab w:leader="none" w:pos="10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changes to the commission plans, quotas and other compensation-related metrics for our sales representatives;</w:t>
      </w:r>
    </w:p>
    <w:p>
      <w:pPr>
        <w:spacing w:after="0" w:line="90" w:lineRule="exact"/>
        <w:rPr>
          <w:rFonts w:ascii="Arial" w:cs="Arial" w:eastAsia="Arial" w:hAnsi="Arial"/>
          <w:sz w:val="15"/>
          <w:szCs w:val="15"/>
          <w:color w:val="auto"/>
        </w:rPr>
      </w:pPr>
    </w:p>
    <w:p>
      <w:pPr>
        <w:ind w:left="1040" w:hanging="517"/>
        <w:spacing w:after="0"/>
        <w:tabs>
          <w:tab w:leader="none" w:pos="10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amount and timing of payment for operating expenses, particularly research and development, sales and marketing expenses and employee benefit expenses;</w:t>
      </w:r>
    </w:p>
    <w:p>
      <w:pPr>
        <w:spacing w:after="0" w:line="102" w:lineRule="exact"/>
        <w:rPr>
          <w:rFonts w:ascii="Arial" w:cs="Arial" w:eastAsia="Arial" w:hAnsi="Arial"/>
          <w:sz w:val="14"/>
          <w:szCs w:val="14"/>
          <w:color w:val="auto"/>
        </w:rPr>
      </w:pPr>
    </w:p>
    <w:p>
      <w:pPr>
        <w:ind w:left="1040" w:hanging="517"/>
        <w:spacing w:after="0"/>
        <w:tabs>
          <w:tab w:leader="none" w:pos="10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amount and timing of costs associated with recruiting, training and integrating new employees while maintaining our company culture;</w:t>
      </w:r>
    </w:p>
    <w:p>
      <w:pPr>
        <w:spacing w:after="0" w:line="90" w:lineRule="exact"/>
        <w:rPr>
          <w:rFonts w:ascii="Arial" w:cs="Arial" w:eastAsia="Arial" w:hAnsi="Arial"/>
          <w:sz w:val="15"/>
          <w:szCs w:val="15"/>
          <w:color w:val="auto"/>
        </w:rPr>
      </w:pPr>
    </w:p>
    <w:p>
      <w:pPr>
        <w:ind w:left="1040" w:right="120" w:hanging="517"/>
        <w:spacing w:after="0" w:line="263" w:lineRule="auto"/>
        <w:tabs>
          <w:tab w:leader="none" w:pos="10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our ability to manage our existing business and future growth, including increases in the number of customers on our platform and the introduction and adoption of our inbound platform in new markets outside of the United States;</w:t>
      </w:r>
    </w:p>
    <w:p>
      <w:pPr>
        <w:spacing w:after="0" w:line="60" w:lineRule="exact"/>
        <w:rPr>
          <w:rFonts w:ascii="Arial" w:cs="Arial" w:eastAsia="Arial" w:hAnsi="Arial"/>
          <w:sz w:val="15"/>
          <w:szCs w:val="15"/>
          <w:color w:val="auto"/>
        </w:rPr>
      </w:pPr>
    </w:p>
    <w:p>
      <w:pPr>
        <w:ind w:left="1040" w:right="60" w:hanging="517"/>
        <w:spacing w:after="0" w:line="263" w:lineRule="auto"/>
        <w:tabs>
          <w:tab w:leader="none" w:pos="10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unforeseen costs and expenses related to the expansion of our business, operations and infrastructure, including disruptions in our hosting network infrastructure and privacy and data security;</w:t>
      </w:r>
    </w:p>
    <w:p>
      <w:pPr>
        <w:spacing w:after="0" w:line="60" w:lineRule="exact"/>
        <w:rPr>
          <w:rFonts w:ascii="Arial" w:cs="Arial" w:eastAsia="Arial" w:hAnsi="Arial"/>
          <w:sz w:val="15"/>
          <w:szCs w:val="15"/>
          <w:color w:val="auto"/>
        </w:rPr>
      </w:pPr>
    </w:p>
    <w:p>
      <w:pPr>
        <w:ind w:left="1040" w:hanging="517"/>
        <w:spacing w:after="0"/>
        <w:tabs>
          <w:tab w:leader="none" w:pos="10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foreign currency exchange rate fluctuations; and</w:t>
      </w:r>
    </w:p>
    <w:p>
      <w:pPr>
        <w:spacing w:after="0" w:line="90" w:lineRule="exact"/>
        <w:rPr>
          <w:rFonts w:ascii="Arial" w:cs="Arial" w:eastAsia="Arial" w:hAnsi="Arial"/>
          <w:sz w:val="15"/>
          <w:szCs w:val="15"/>
          <w:color w:val="auto"/>
        </w:rPr>
      </w:pPr>
    </w:p>
    <w:p>
      <w:pPr>
        <w:ind w:left="1040" w:hanging="517"/>
        <w:spacing w:after="0"/>
        <w:tabs>
          <w:tab w:leader="none" w:pos="10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general economic and political conditions in our domestic and international markets.</w:t>
      </w:r>
    </w:p>
    <w:p>
      <w:pPr>
        <w:spacing w:after="0" w:line="179" w:lineRule="exact"/>
        <w:rPr>
          <w:sz w:val="20"/>
          <w:szCs w:val="20"/>
          <w:color w:val="auto"/>
        </w:rPr>
      </w:pPr>
    </w:p>
    <w:p>
      <w:pPr>
        <w:ind w:right="120" w:firstLine="520"/>
        <w:spacing w:after="0" w:line="253" w:lineRule="auto"/>
        <w:rPr>
          <w:sz w:val="20"/>
          <w:szCs w:val="20"/>
          <w:color w:val="auto"/>
        </w:rPr>
      </w:pPr>
      <w:r>
        <w:rPr>
          <w:rFonts w:ascii="Arial" w:cs="Arial" w:eastAsia="Arial" w:hAnsi="Arial"/>
          <w:sz w:val="15"/>
          <w:szCs w:val="15"/>
          <w:color w:val="auto"/>
        </w:rPr>
        <w:t>We may not be able to accurately forecast the amount and mix of future subscriptions, revenue and expenses and, as a result, our operating results may fall below our estimates or the expectations of public market analysts and investors. If our revenue or operating results fall below the expectations of investors or securities analysts, or below any guidance we may provide, the price of our common stock could decline.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1390" cy="39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60"/>
          </w:cols>
          <w:pgMar w:left="220" w:top="480" w:right="219" w:bottom="1440" w:gutter="0" w:footer="0" w:header="0"/>
        </w:sectPr>
      </w:pPr>
    </w:p>
    <w:bookmarkStart w:id="45" w:name="page46"/>
    <w:bookmarkEnd w:id="45"/>
    <w:p>
      <w:pPr>
        <w:ind w:right="500"/>
        <w:spacing w:after="0" w:line="263" w:lineRule="auto"/>
        <w:rPr>
          <w:sz w:val="20"/>
          <w:szCs w:val="20"/>
          <w:color w:val="auto"/>
        </w:rPr>
      </w:pPr>
      <w:r>
        <w:rPr>
          <w:rFonts w:ascii="Arial" w:cs="Arial" w:eastAsia="Arial" w:hAnsi="Arial"/>
          <w:sz w:val="15"/>
          <w:szCs w:val="15"/>
          <w:b w:val="1"/>
          <w:bCs w:val="1"/>
          <w:i w:val="1"/>
          <w:iCs w:val="1"/>
          <w:color w:val="auto"/>
        </w:rPr>
        <w:t>If we do not accurately predict subscription renewal rates or otherwise fail to forecast our revenue accurately, or if we fail to match our expenditures with corresponding revenue, our operating results could be adversely affected.</w:t>
      </w:r>
    </w:p>
    <w:p>
      <w:pPr>
        <w:spacing w:after="0" w:line="61" w:lineRule="exact"/>
        <w:rPr>
          <w:sz w:val="20"/>
          <w:szCs w:val="20"/>
          <w:color w:val="auto"/>
        </w:rPr>
      </w:pPr>
    </w:p>
    <w:p>
      <w:pPr>
        <w:ind w:right="40" w:firstLine="520"/>
        <w:spacing w:after="0" w:line="253" w:lineRule="auto"/>
        <w:rPr>
          <w:sz w:val="20"/>
          <w:szCs w:val="20"/>
          <w:color w:val="auto"/>
        </w:rPr>
      </w:pPr>
      <w:r>
        <w:rPr>
          <w:rFonts w:ascii="Arial" w:cs="Arial" w:eastAsia="Arial" w:hAnsi="Arial"/>
          <w:sz w:val="15"/>
          <w:szCs w:val="15"/>
          <w:color w:val="auto"/>
        </w:rPr>
        <w:t>Because our recent growth has resulted in the rapid expansion of our business, we do not have a long history upon which to base forecasts of renewal rates with customers or future operating revenue. As a result, our operating results in future reporting periods may be significantly below the expectations of the public market, equity research analysts or investors, which could harm the price of our common stock.</w:t>
      </w:r>
    </w:p>
    <w:p>
      <w:pPr>
        <w:spacing w:after="0" w:line="244"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Because we generally recognize revenue from subscriptions ratably over the term of the agreement, near term changes in sales may not be reflected immediately in our operating results.</w:t>
      </w:r>
    </w:p>
    <w:p>
      <w:pPr>
        <w:spacing w:after="0" w:line="137" w:lineRule="exact"/>
        <w:rPr>
          <w:sz w:val="20"/>
          <w:szCs w:val="20"/>
          <w:color w:val="auto"/>
        </w:rPr>
      </w:pPr>
    </w:p>
    <w:p>
      <w:pPr>
        <w:ind w:right="80" w:firstLine="520"/>
        <w:spacing w:after="0" w:line="267" w:lineRule="auto"/>
        <w:rPr>
          <w:sz w:val="20"/>
          <w:szCs w:val="20"/>
          <w:color w:val="auto"/>
        </w:rPr>
      </w:pPr>
      <w:r>
        <w:rPr>
          <w:rFonts w:ascii="Arial" w:cs="Arial" w:eastAsia="Arial" w:hAnsi="Arial"/>
          <w:sz w:val="14"/>
          <w:szCs w:val="14"/>
          <w:color w:val="auto"/>
        </w:rPr>
        <w:t>We offer our inbound platform primarily through a mix of monthly, quarterly and single-year subscription agreements and generally recognize revenue ratably over the related subscription period. As a result, much of the revenue we report in each quarter is derived from agreements entered into during prior months, quarters or years. In addition, we do not record deferred revenue beyond amounts invoiced as a liability on our balance sheet. A decline in new or renewed subscriptions or marketing solutions agreements in any one quarter is not likely to be reflected immediately in our revenue results for that quarter. Such declines, however, would negatively affect our revenue and deferred revenue balances in future periods, and the effect of significant downturns in sales and market acceptance of our platform, and potential changes in our rate of renewals, may not be fully reflected in our results of operations until future periods. Our subscription model also makes it difficult for us to rapidly increase our total revenue and deferred revenue balance through additional sales in any period, as revenue from new customers must be recognized over the applicable subscription term.</w:t>
      </w:r>
    </w:p>
    <w:p>
      <w:pPr>
        <w:spacing w:after="0" w:line="238" w:lineRule="exact"/>
        <w:rPr>
          <w:sz w:val="20"/>
          <w:szCs w:val="20"/>
          <w:color w:val="auto"/>
        </w:rPr>
      </w:pPr>
    </w:p>
    <w:p>
      <w:pPr>
        <w:ind w:right="120"/>
        <w:spacing w:after="0" w:line="253" w:lineRule="auto"/>
        <w:rPr>
          <w:sz w:val="20"/>
          <w:szCs w:val="20"/>
          <w:color w:val="auto"/>
        </w:rPr>
      </w:pPr>
      <w:r>
        <w:rPr>
          <w:rFonts w:ascii="Arial" w:cs="Arial" w:eastAsia="Arial" w:hAnsi="Arial"/>
          <w:sz w:val="15"/>
          <w:szCs w:val="15"/>
          <w:b w:val="1"/>
          <w:bCs w:val="1"/>
          <w:i w:val="1"/>
          <w:iCs w:val="1"/>
          <w:color w:val="auto"/>
        </w:rPr>
        <w:t>Servicing our debt may require a significant amount of cash. We may not have sufficient cash flow from our business to pay our indebtedness, and we may not have the ability to raise the funds necessary to settle for cash conversions of the 2022 Notes or to repurchase the 2022 Notes for cash upon a fundamental change, which could adversely affect our business and results of operations.</w:t>
      </w:r>
    </w:p>
    <w:p>
      <w:pPr>
        <w:spacing w:after="0" w:line="69" w:lineRule="exact"/>
        <w:rPr>
          <w:sz w:val="20"/>
          <w:szCs w:val="20"/>
          <w:color w:val="auto"/>
        </w:rPr>
      </w:pPr>
    </w:p>
    <w:p>
      <w:pPr>
        <w:ind w:right="40" w:firstLine="520"/>
        <w:spacing w:after="0" w:line="290" w:lineRule="auto"/>
        <w:rPr>
          <w:sz w:val="20"/>
          <w:szCs w:val="20"/>
          <w:color w:val="auto"/>
        </w:rPr>
      </w:pPr>
      <w:r>
        <w:rPr>
          <w:rFonts w:ascii="Arial" w:cs="Arial" w:eastAsia="Arial" w:hAnsi="Arial"/>
          <w:sz w:val="13"/>
          <w:szCs w:val="13"/>
          <w:color w:val="auto"/>
        </w:rPr>
        <w:t>We incurred indebtedness in the aggregate principal amount of $400.0 million in connection with the issuance of our 0.25% convertible senior notes due June 1, 2022 (the “2022 Notes”). Our ability to make scheduled payments of the principal of, to pay interest on or to refinance our indebtedness, including the 2022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135" w:lineRule="exact"/>
        <w:rPr>
          <w:sz w:val="20"/>
          <w:szCs w:val="20"/>
          <w:color w:val="auto"/>
        </w:rPr>
      </w:pPr>
    </w:p>
    <w:p>
      <w:pPr>
        <w:ind w:firstLine="520"/>
        <w:spacing w:after="0" w:line="289" w:lineRule="auto"/>
        <w:rPr>
          <w:sz w:val="20"/>
          <w:szCs w:val="20"/>
          <w:color w:val="auto"/>
        </w:rPr>
      </w:pPr>
      <w:r>
        <w:rPr>
          <w:rFonts w:ascii="Arial" w:cs="Arial" w:eastAsia="Arial" w:hAnsi="Arial"/>
          <w:sz w:val="13"/>
          <w:szCs w:val="13"/>
          <w:color w:val="auto"/>
        </w:rPr>
        <w:t>In addition, holders of the 2022 Notes have the right to require us to repurchase their 2022 Notes upon the occurrence of a fundamental change at a fundamental change repurchase price equal to 100% of the principal amount of the 2022 Notes to be repurchased, plus accrued and unpaid interest, if any. Upon conversion of the 2022 Notes, unless we elect to deliver solely shares of our common stock to settle such conversion (other than paying cash in lieu of delivering any fractional share), we will be required to make cash payments in respect of the 2022 Notes being converted. We may not have enough available cash or be able to obtain financing at the time we are required to make repurchases of 2022 Notes surrendered therefor or 2022 Notes being converted. In addition, our ability to repurchase the 2022 Notes or to pay cash upon conversions of the 2022 Notes may be limited by law, by regulatory authority or by agreements governing our future indebtedness. Our failure to repurchase 2022 Notes at a time when the repurchase is required by the indenture governing the notes or to pay any cash payable on future conversions of the 2022 Notes as required by such indenture would constitute a default under such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2022 Notes or make cash payments upon conversions thereof.</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addition, our indebtedness, combined with our other financial obligations and contractual commitments, could have other important consequences. For example, it could:</w:t>
      </w:r>
    </w:p>
    <w:p>
      <w:pPr>
        <w:spacing w:after="0" w:line="102" w:lineRule="exact"/>
        <w:rPr>
          <w:sz w:val="20"/>
          <w:szCs w:val="20"/>
          <w:color w:val="auto"/>
        </w:rPr>
      </w:pPr>
    </w:p>
    <w:p>
      <w:pPr>
        <w:ind w:left="1040" w:hanging="517"/>
        <w:spacing w:after="0"/>
        <w:tabs>
          <w:tab w:leader="none" w:pos="10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make us more vulnerable to adverse changes in general U.S. and worldwide economic, industry and competitive conditions and adverse changes in government regulation;</w:t>
      </w:r>
    </w:p>
    <w:p>
      <w:pPr>
        <w:spacing w:after="0" w:line="113" w:lineRule="exact"/>
        <w:rPr>
          <w:rFonts w:ascii="Arial" w:cs="Arial" w:eastAsia="Arial" w:hAnsi="Arial"/>
          <w:sz w:val="13"/>
          <w:szCs w:val="13"/>
          <w:color w:val="auto"/>
        </w:rPr>
      </w:pPr>
    </w:p>
    <w:p>
      <w:pPr>
        <w:ind w:left="1040" w:hanging="517"/>
        <w:spacing w:after="0"/>
        <w:tabs>
          <w:tab w:leader="none" w:pos="10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limit our flexibility in planning for, or reacting to, changes in our business and our industry;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1390" cy="39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60"/>
          </w:cols>
          <w:pgMar w:left="220" w:top="568" w:right="219" w:bottom="1440" w:gutter="0" w:footer="0" w:header="0"/>
        </w:sectPr>
      </w:pPr>
    </w:p>
    <w:bookmarkStart w:id="46" w:name="page47"/>
    <w:bookmarkEnd w:id="46"/>
    <w:p>
      <w:pPr>
        <w:ind w:left="1040" w:hanging="517"/>
        <w:spacing w:after="0"/>
        <w:tabs>
          <w:tab w:leader="none" w:pos="10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place us at a disadvantage compared to our competitors who have less debt; and</w:t>
      </w:r>
    </w:p>
    <w:p>
      <w:pPr>
        <w:spacing w:after="0" w:line="90" w:lineRule="exact"/>
        <w:rPr>
          <w:rFonts w:ascii="Arial" w:cs="Arial" w:eastAsia="Arial" w:hAnsi="Arial"/>
          <w:sz w:val="15"/>
          <w:szCs w:val="15"/>
          <w:color w:val="auto"/>
        </w:rPr>
      </w:pPr>
    </w:p>
    <w:p>
      <w:pPr>
        <w:ind w:left="1040" w:hanging="517"/>
        <w:spacing w:after="0"/>
        <w:tabs>
          <w:tab w:leader="none" w:pos="10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limit our ability to borrow additional amounts to fund acquisitions, for working capital and for other general corporate purposes.</w:t>
      </w:r>
    </w:p>
    <w:p>
      <w:pPr>
        <w:spacing w:after="0" w:line="179" w:lineRule="exact"/>
        <w:rPr>
          <w:sz w:val="20"/>
          <w:szCs w:val="20"/>
          <w:color w:val="auto"/>
        </w:rPr>
      </w:pPr>
    </w:p>
    <w:p>
      <w:pPr>
        <w:ind w:right="140" w:firstLine="520"/>
        <w:spacing w:after="0" w:line="263" w:lineRule="auto"/>
        <w:rPr>
          <w:sz w:val="20"/>
          <w:szCs w:val="20"/>
          <w:color w:val="auto"/>
        </w:rPr>
      </w:pPr>
      <w:r>
        <w:rPr>
          <w:rFonts w:ascii="Arial" w:cs="Arial" w:eastAsia="Arial" w:hAnsi="Arial"/>
          <w:sz w:val="15"/>
          <w:szCs w:val="15"/>
          <w:color w:val="auto"/>
        </w:rPr>
        <w:t>Any of these factors could materially and adversely affect our business, financial condition and results of operations. In addition, if we incur additional indebtedness, the risks related to our business and our ability to service or repay our indebtedness would increase.</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The conditional conversion feature of the 2022 Notes, if triggered, may adversely affect our financial condition and operating results.</w:t>
      </w:r>
    </w:p>
    <w:p>
      <w:pPr>
        <w:spacing w:after="0" w:line="14" w:lineRule="exact"/>
        <w:rPr>
          <w:sz w:val="20"/>
          <w:szCs w:val="20"/>
          <w:color w:val="auto"/>
        </w:rPr>
      </w:pPr>
    </w:p>
    <w:p>
      <w:pPr>
        <w:ind w:firstLine="520"/>
        <w:spacing w:after="0" w:line="267" w:lineRule="auto"/>
        <w:rPr>
          <w:sz w:val="20"/>
          <w:szCs w:val="20"/>
          <w:color w:val="auto"/>
        </w:rPr>
      </w:pPr>
      <w:r>
        <w:rPr>
          <w:rFonts w:ascii="Arial" w:cs="Arial" w:eastAsia="Arial" w:hAnsi="Arial"/>
          <w:sz w:val="14"/>
          <w:szCs w:val="14"/>
          <w:color w:val="auto"/>
        </w:rPr>
        <w:t>In the event the conditional conversion feature of the 2022 Notes is triggered, holders of 2022 Notes will be entitled to convert the 2022 Notes at any time during specified periods at their option. If one or more holders elect to convert their 2022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2022 Notes, we could be required under applicable accounting rules to reclassify all or a portion of the outstanding principal of the 2022 Notes as a current rather than long-term liability, which would result in a material reduction of our net working capital.</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accounting method for convertible debt securities that may be settled in cash, such as the 2022 Notes, could have a material effect on our reported financial results.</w:t>
      </w:r>
    </w:p>
    <w:p>
      <w:pPr>
        <w:spacing w:after="0" w:line="102" w:lineRule="exact"/>
        <w:rPr>
          <w:sz w:val="20"/>
          <w:szCs w:val="20"/>
          <w:color w:val="auto"/>
        </w:rPr>
      </w:pPr>
    </w:p>
    <w:p>
      <w:pPr>
        <w:ind w:right="40" w:firstLine="520"/>
        <w:spacing w:after="0" w:line="267" w:lineRule="auto"/>
        <w:rPr>
          <w:sz w:val="20"/>
          <w:szCs w:val="20"/>
          <w:color w:val="auto"/>
        </w:rPr>
      </w:pPr>
      <w:r>
        <w:rPr>
          <w:rFonts w:ascii="Arial" w:cs="Arial" w:eastAsia="Arial" w:hAnsi="Arial"/>
          <w:sz w:val="14"/>
          <w:szCs w:val="14"/>
          <w:color w:val="auto"/>
        </w:rPr>
        <w:t xml:space="preserve">Under Financial Accounting Standards Board Accounting Standards Codification 470-20, </w:t>
      </w:r>
      <w:r>
        <w:rPr>
          <w:rFonts w:ascii="Arial" w:cs="Arial" w:eastAsia="Arial" w:hAnsi="Arial"/>
          <w:sz w:val="14"/>
          <w:szCs w:val="14"/>
          <w:i w:val="1"/>
          <w:iCs w:val="1"/>
          <w:color w:val="auto"/>
        </w:rPr>
        <w:t>Debt with Conversion and Other Options</w:t>
      </w:r>
      <w:r>
        <w:rPr>
          <w:rFonts w:ascii="Arial" w:cs="Arial" w:eastAsia="Arial" w:hAnsi="Arial"/>
          <w:sz w:val="14"/>
          <w:szCs w:val="14"/>
          <w:color w:val="auto"/>
        </w:rPr>
        <w:t>, which we refer to as ASC 470-20, an entity must separately account for the liability and equity components of convertible debt instruments (such as the 2022 Notes) that may be settled entirely or partially in cash upon conversion in a manner that reflects the issuer’s economic interest cost. ASC 470-20 requires the value of the conversion option of the 2022 Notes, representing the equity component, to be recorded as additional paid-in capital within stockholders’ equity in our consolidated balance sheet and as a discount to the 2022 Notes, which reduces their initial carrying value. The carrying value of the 2022 Notes, net of the discount recorded, will be accreted up to the principal amount of the 2022 Notes from the issuance date until maturity, which will result in non-cash charges to interest expense in our consolidated statement of operations. Accordingly, we will report lower net income or higher net loss in our financial results because ASC 470-20 requires interest to include both the current period’s accretion of the debt discount and the instrument’s coupon interest, which could adversely affect our reported or future financial results, the trading price of our common stock and the trading price of the 2022 Notes.</w:t>
      </w:r>
    </w:p>
    <w:p>
      <w:pPr>
        <w:spacing w:after="0" w:line="235" w:lineRule="exact"/>
        <w:rPr>
          <w:sz w:val="20"/>
          <w:szCs w:val="20"/>
          <w:color w:val="auto"/>
        </w:rPr>
      </w:pPr>
    </w:p>
    <w:p>
      <w:pPr>
        <w:ind w:right="60"/>
        <w:spacing w:after="0" w:line="248" w:lineRule="auto"/>
        <w:rPr>
          <w:sz w:val="20"/>
          <w:szCs w:val="20"/>
          <w:color w:val="auto"/>
        </w:rPr>
      </w:pPr>
      <w:r>
        <w:rPr>
          <w:rFonts w:ascii="Arial" w:cs="Arial" w:eastAsia="Arial" w:hAnsi="Arial"/>
          <w:sz w:val="15"/>
          <w:szCs w:val="15"/>
          <w:color w:val="auto"/>
        </w:rPr>
        <w:t>In addition, under certain circumstances, convertible debt instruments (such as the 2022 Notes) that may be settled entirely or partly in cash are currently accounted for utilizing the treasury stock method, the effect of which is that the shares issuable upon conversion of the 2022 Notes are not included in the calculation of diluted earnings per share except to the extent that the conversion value of the 2022 Notes exceeds their principal amount. Under the treasury stock method, for diluted earnings per share purposes, the transaction is accounted for as if the number of shares of common stock that would be necessary to settle such excess, if we elected to settle such excess in shares, are issued. We cannot be sure that the accounting standards in the future will continue to permit the use of the treasury stock method. If we are unable to use the treasury stock method in accounting for the shares issuable upon conversion of the 2022 Notes, then our diluted earnings per share would be adversely affected.</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exposed to fluctuations in currency exchange rates.</w:t>
      </w:r>
    </w:p>
    <w:p>
      <w:pPr>
        <w:spacing w:after="0" w:line="91" w:lineRule="exact"/>
        <w:rPr>
          <w:sz w:val="20"/>
          <w:szCs w:val="20"/>
          <w:color w:val="auto"/>
        </w:rPr>
      </w:pPr>
    </w:p>
    <w:p>
      <w:pPr>
        <w:ind w:right="20" w:firstLine="520"/>
        <w:spacing w:after="0" w:line="267" w:lineRule="auto"/>
        <w:rPr>
          <w:sz w:val="20"/>
          <w:szCs w:val="20"/>
          <w:color w:val="auto"/>
        </w:rPr>
      </w:pPr>
      <w:r>
        <w:rPr>
          <w:rFonts w:ascii="Arial" w:cs="Arial" w:eastAsia="Arial" w:hAnsi="Arial"/>
          <w:sz w:val="14"/>
          <w:szCs w:val="14"/>
          <w:color w:val="auto"/>
        </w:rPr>
        <w:t>We face exposure to movements in currency exchange rates, which may cause our revenue and operating results to differ materially from expectations. As we have expanded our international operations our exposure exchange rate fluctuations has increased, in particular with respect to the Euro, British Pound Sterling, Australian Dollar, and Japanese Yen. As exchange rates vary, revenue, cost of revenue, operating expenses and other operating results, when re-measured, may differ materially from expectations. In addition, our operating results are subject to fluctuation if our mix of U.S. and foreign currency denominated transactions and expenses changes in the future. Although we may apply certain strategies to mitigate foreign currency risk, these strategies might not eliminate our exposure to foreign exchange rate fluctuations and would involve costs and risks of their own, such as ongoing management time and expertise, external costs to implement the strategies and potential accounting implications. Additionally, as we anticipate growing our business further outside of the United States, the effects of movements in currency exchange rates will increase as our transaction volume outside of the United States increases.</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1390" cy="393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40"/>
          </w:cols>
          <w:pgMar w:left="220" w:top="392" w:right="239" w:bottom="1440" w:gutter="0" w:footer="0" w:header="0"/>
        </w:sectPr>
      </w:pPr>
    </w:p>
    <w:bookmarkStart w:id="47" w:name="page48"/>
    <w:bookmarkEnd w:id="47"/>
    <w:p>
      <w:pPr>
        <w:spacing w:after="0"/>
        <w:rPr>
          <w:sz w:val="20"/>
          <w:szCs w:val="20"/>
          <w:color w:val="auto"/>
        </w:rPr>
      </w:pPr>
      <w:r>
        <w:rPr>
          <w:rFonts w:ascii="Arial" w:cs="Arial" w:eastAsia="Arial" w:hAnsi="Arial"/>
          <w:sz w:val="15"/>
          <w:szCs w:val="15"/>
          <w:b w:val="1"/>
          <w:bCs w:val="1"/>
          <w:color w:val="auto"/>
        </w:rPr>
        <w:t>Risks Related to Our Common Stock</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stock price may be volatile and you may be unable to sell your shares at or above the price you purchased them.</w:t>
      </w:r>
    </w:p>
    <w:p>
      <w:pPr>
        <w:spacing w:after="0" w:line="91" w:lineRule="exact"/>
        <w:rPr>
          <w:sz w:val="20"/>
          <w:szCs w:val="20"/>
          <w:color w:val="auto"/>
        </w:rPr>
      </w:pPr>
    </w:p>
    <w:p>
      <w:pPr>
        <w:ind w:right="260" w:firstLine="520"/>
        <w:spacing w:after="0" w:line="253" w:lineRule="auto"/>
        <w:rPr>
          <w:sz w:val="20"/>
          <w:szCs w:val="20"/>
          <w:color w:val="auto"/>
        </w:rPr>
      </w:pPr>
      <w:r>
        <w:rPr>
          <w:rFonts w:ascii="Arial" w:cs="Arial" w:eastAsia="Arial" w:hAnsi="Arial"/>
          <w:sz w:val="15"/>
          <w:szCs w:val="15"/>
          <w:color w:val="auto"/>
        </w:rPr>
        <w:t>The trading prices of the securities of technology companies, including providers of software via the cloud-based model, have been highly volatile. Since shares of our common stock were sold in our initial public offering in October 2014 at a price of $25.00 per share, our stock price has ranged from $25.79 to $124.45, through March 31, 2018. The market price of our common stock may fluctuate significantly in response to numerous factors, many of which are beyond our control, including:</w:t>
      </w:r>
    </w:p>
    <w:p>
      <w:pPr>
        <w:spacing w:after="0" w:line="69" w:lineRule="exact"/>
        <w:rPr>
          <w:sz w:val="20"/>
          <w:szCs w:val="20"/>
          <w:color w:val="auto"/>
        </w:rPr>
      </w:pPr>
    </w:p>
    <w:p>
      <w:pPr>
        <w:ind w:left="1040" w:hanging="517"/>
        <w:spacing w:after="0"/>
        <w:tabs>
          <w:tab w:leader="none" w:pos="10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actual or anticipated fluctuations in our revenue and other operating results, including as a result of the addition or loss of any number of customers;</w:t>
      </w:r>
    </w:p>
    <w:p>
      <w:pPr>
        <w:spacing w:after="0" w:line="90" w:lineRule="exact"/>
        <w:rPr>
          <w:rFonts w:ascii="Arial" w:cs="Arial" w:eastAsia="Arial" w:hAnsi="Arial"/>
          <w:sz w:val="15"/>
          <w:szCs w:val="15"/>
          <w:color w:val="auto"/>
        </w:rPr>
      </w:pPr>
    </w:p>
    <w:p>
      <w:pPr>
        <w:ind w:left="1040" w:hanging="517"/>
        <w:spacing w:after="0"/>
        <w:tabs>
          <w:tab w:leader="none" w:pos="10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announcements by us or our competitors of significant technical innovations, acquisitions, strategic partnerships, joint ventures or capital commitments;</w:t>
      </w:r>
    </w:p>
    <w:p>
      <w:pPr>
        <w:spacing w:after="0" w:line="90" w:lineRule="exact"/>
        <w:rPr>
          <w:rFonts w:ascii="Arial" w:cs="Arial" w:eastAsia="Arial" w:hAnsi="Arial"/>
          <w:sz w:val="15"/>
          <w:szCs w:val="15"/>
          <w:color w:val="auto"/>
        </w:rPr>
      </w:pPr>
    </w:p>
    <w:p>
      <w:pPr>
        <w:ind w:left="1040" w:hanging="517"/>
        <w:spacing w:after="0"/>
        <w:tabs>
          <w:tab w:leader="none" w:pos="10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financial projections we may provide to the public, any changes in these projections or our failure to meet these projections;</w:t>
      </w:r>
    </w:p>
    <w:p>
      <w:pPr>
        <w:spacing w:after="0" w:line="90" w:lineRule="exact"/>
        <w:rPr>
          <w:rFonts w:ascii="Arial" w:cs="Arial" w:eastAsia="Arial" w:hAnsi="Arial"/>
          <w:sz w:val="15"/>
          <w:szCs w:val="15"/>
          <w:color w:val="auto"/>
        </w:rPr>
      </w:pPr>
    </w:p>
    <w:p>
      <w:pPr>
        <w:ind w:left="1040" w:right="260" w:hanging="517"/>
        <w:spacing w:after="0" w:line="263" w:lineRule="auto"/>
        <w:tabs>
          <w:tab w:leader="none" w:pos="10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failure of securities analysts to initiate or maintain coverage of us, changes in ratings and financial estimates and the publication of other news by any securities analysts who follow our company, or our failure to meet these estimates or the expectations of investors;</w:t>
      </w:r>
    </w:p>
    <w:p>
      <w:pPr>
        <w:spacing w:after="0" w:line="60" w:lineRule="exact"/>
        <w:rPr>
          <w:rFonts w:ascii="Arial" w:cs="Arial" w:eastAsia="Arial" w:hAnsi="Arial"/>
          <w:sz w:val="15"/>
          <w:szCs w:val="15"/>
          <w:color w:val="auto"/>
        </w:rPr>
      </w:pPr>
    </w:p>
    <w:p>
      <w:pPr>
        <w:ind w:left="1040" w:hanging="517"/>
        <w:spacing w:after="0"/>
        <w:tabs>
          <w:tab w:leader="none" w:pos="10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changes in operating performance and stock market valuations of cloud-based software or other technology companies, or those in our industry in particular;</w:t>
      </w:r>
    </w:p>
    <w:p>
      <w:pPr>
        <w:spacing w:after="0" w:line="90" w:lineRule="exact"/>
        <w:rPr>
          <w:rFonts w:ascii="Arial" w:cs="Arial" w:eastAsia="Arial" w:hAnsi="Arial"/>
          <w:sz w:val="15"/>
          <w:szCs w:val="15"/>
          <w:color w:val="auto"/>
        </w:rPr>
      </w:pPr>
    </w:p>
    <w:p>
      <w:pPr>
        <w:ind w:left="1040" w:hanging="517"/>
        <w:spacing w:after="0"/>
        <w:tabs>
          <w:tab w:leader="none" w:pos="10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price and volume fluctuations in the trading of our common stock and in the overall stock market, including as a result of trends in the economy as a whole;</w:t>
      </w:r>
    </w:p>
    <w:p>
      <w:pPr>
        <w:spacing w:after="0" w:line="90" w:lineRule="exact"/>
        <w:rPr>
          <w:rFonts w:ascii="Arial" w:cs="Arial" w:eastAsia="Arial" w:hAnsi="Arial"/>
          <w:sz w:val="15"/>
          <w:szCs w:val="15"/>
          <w:color w:val="auto"/>
        </w:rPr>
      </w:pPr>
    </w:p>
    <w:p>
      <w:pPr>
        <w:ind w:left="1040" w:hanging="517"/>
        <w:spacing w:after="0"/>
        <w:tabs>
          <w:tab w:leader="none" w:pos="10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sales of large blocks of our common stock or the dilutive effect of our 2022 Notes or any other equity or equity-linked financings;</w:t>
      </w:r>
    </w:p>
    <w:p>
      <w:pPr>
        <w:spacing w:after="0" w:line="90" w:lineRule="exact"/>
        <w:rPr>
          <w:rFonts w:ascii="Arial" w:cs="Arial" w:eastAsia="Arial" w:hAnsi="Arial"/>
          <w:sz w:val="15"/>
          <w:szCs w:val="15"/>
          <w:color w:val="auto"/>
        </w:rPr>
      </w:pPr>
    </w:p>
    <w:p>
      <w:pPr>
        <w:ind w:left="1040" w:hanging="517"/>
        <w:spacing w:after="0"/>
        <w:tabs>
          <w:tab w:leader="none" w:pos="10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new laws or regulations or new interpretations of existing laws or regulations applicable to our business or industry, including data privacy and data security;</w:t>
      </w:r>
    </w:p>
    <w:p>
      <w:pPr>
        <w:spacing w:after="0" w:line="90" w:lineRule="exact"/>
        <w:rPr>
          <w:rFonts w:ascii="Arial" w:cs="Arial" w:eastAsia="Arial" w:hAnsi="Arial"/>
          <w:sz w:val="15"/>
          <w:szCs w:val="15"/>
          <w:color w:val="auto"/>
        </w:rPr>
      </w:pPr>
    </w:p>
    <w:p>
      <w:pPr>
        <w:ind w:left="1040" w:hanging="517"/>
        <w:spacing w:after="0"/>
        <w:tabs>
          <w:tab w:leader="none" w:pos="10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lawsuits threatened or filed against us;</w:t>
      </w:r>
    </w:p>
    <w:p>
      <w:pPr>
        <w:spacing w:after="0" w:line="90" w:lineRule="exact"/>
        <w:rPr>
          <w:rFonts w:ascii="Arial" w:cs="Arial" w:eastAsia="Arial" w:hAnsi="Arial"/>
          <w:sz w:val="15"/>
          <w:szCs w:val="15"/>
          <w:color w:val="auto"/>
        </w:rPr>
      </w:pPr>
    </w:p>
    <w:p>
      <w:pPr>
        <w:ind w:left="1040" w:hanging="517"/>
        <w:spacing w:after="0"/>
        <w:tabs>
          <w:tab w:leader="none" w:pos="10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changes in key personnel; and</w:t>
      </w:r>
    </w:p>
    <w:p>
      <w:pPr>
        <w:spacing w:after="0" w:line="90" w:lineRule="exact"/>
        <w:rPr>
          <w:rFonts w:ascii="Arial" w:cs="Arial" w:eastAsia="Arial" w:hAnsi="Arial"/>
          <w:sz w:val="15"/>
          <w:szCs w:val="15"/>
          <w:color w:val="auto"/>
        </w:rPr>
      </w:pPr>
    </w:p>
    <w:p>
      <w:pPr>
        <w:ind w:left="1040" w:hanging="517"/>
        <w:spacing w:after="0"/>
        <w:tabs>
          <w:tab w:leader="none" w:pos="10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other events or factors, including changes in general economic, industry and market conditions and trends.</w:t>
      </w:r>
    </w:p>
    <w:p>
      <w:pPr>
        <w:spacing w:after="0" w:line="179" w:lineRule="exact"/>
        <w:rPr>
          <w:sz w:val="20"/>
          <w:szCs w:val="20"/>
          <w:color w:val="auto"/>
        </w:rPr>
      </w:pPr>
    </w:p>
    <w:p>
      <w:pPr>
        <w:ind w:right="60" w:firstLine="520"/>
        <w:spacing w:after="0" w:line="299" w:lineRule="auto"/>
        <w:rPr>
          <w:sz w:val="20"/>
          <w:szCs w:val="20"/>
          <w:color w:val="auto"/>
        </w:rPr>
      </w:pPr>
      <w:r>
        <w:rPr>
          <w:rFonts w:ascii="Arial" w:cs="Arial" w:eastAsia="Arial" w:hAnsi="Arial"/>
          <w:sz w:val="14"/>
          <w:szCs w:val="14"/>
          <w:color w:val="auto"/>
        </w:rPr>
        <w:t>In addition, the stock markets have experienced extreme price and volume fluctuations that have affected and continue to affect the market prices of equity securities of many technology companies. Stock prices of many technology companies have fluctuated in a manner unrelated or disproportionate to the operating performance of those companies.</w:t>
      </w:r>
    </w:p>
    <w:p>
      <w:pPr>
        <w:spacing w:after="0" w:line="125" w:lineRule="exact"/>
        <w:rPr>
          <w:sz w:val="20"/>
          <w:szCs w:val="20"/>
          <w:color w:val="auto"/>
        </w:rPr>
      </w:pPr>
    </w:p>
    <w:p>
      <w:pPr>
        <w:ind w:right="20" w:firstLine="520"/>
        <w:spacing w:after="0" w:line="263" w:lineRule="auto"/>
        <w:rPr>
          <w:sz w:val="20"/>
          <w:szCs w:val="20"/>
          <w:color w:val="auto"/>
        </w:rPr>
      </w:pPr>
      <w:r>
        <w:rPr>
          <w:rFonts w:ascii="Arial" w:cs="Arial" w:eastAsia="Arial" w:hAnsi="Arial"/>
          <w:sz w:val="15"/>
          <w:szCs w:val="15"/>
          <w:color w:val="auto"/>
        </w:rPr>
        <w:t>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236"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b w:val="1"/>
          <w:bCs w:val="1"/>
          <w:i w:val="1"/>
          <w:iCs w:val="1"/>
          <w:color w:val="auto"/>
        </w:rPr>
        <w:t>We have incurred, and expect to continue to incur, increased costs and demands upon management as a result of complying with the laws and regulations affecting public companies, which could adversely affect our business, operating results and financial condition.</w:t>
      </w:r>
    </w:p>
    <w:p>
      <w:pPr>
        <w:spacing w:after="0" w:line="61" w:lineRule="exact"/>
        <w:rPr>
          <w:sz w:val="20"/>
          <w:szCs w:val="20"/>
          <w:color w:val="auto"/>
        </w:rPr>
      </w:pPr>
    </w:p>
    <w:p>
      <w:pPr>
        <w:ind w:firstLine="520"/>
        <w:spacing w:after="0" w:line="293" w:lineRule="auto"/>
        <w:rPr>
          <w:sz w:val="20"/>
          <w:szCs w:val="20"/>
          <w:color w:val="auto"/>
        </w:rPr>
      </w:pPr>
      <w:r>
        <w:rPr>
          <w:rFonts w:ascii="Arial" w:cs="Arial" w:eastAsia="Arial" w:hAnsi="Arial"/>
          <w:sz w:val="13"/>
          <w:szCs w:val="13"/>
          <w:color w:val="auto"/>
        </w:rPr>
        <w:t>As a public company we have incurred, and expect to continue to incur significant legal, accounting and other expenses. We are subject to the reporting requirements of the Securities Exchange Act of 1934, as amended, or the Exchange Act, the Sarbanes-Oxley Act of 2002, or the Sarbanes-Oxley Act, the Dodd-Frank Wall Street Reform and Consumer Protection Act, or the Dodd-Frank Act, and the rules and regulations of the New York Stock Exchange, or NYSE. These requirements have increased and will continue to increase our legal, accounting and financial compliance costs and have made and will continue to make some activities more time consuming and costly. For example, we expect these rules and regulations to make it more difficult and more expensive for us to obtain director and officer liability insurance, and we may be required to accept reduced policy limits and coverage or incur substantially higher costs to maintain the same or similar coverage. As a result, it may be more difficult for us to attract and retain qualified individuals to serve on our board of directors or as our executive officers.</w:t>
      </w:r>
    </w:p>
    <w:p>
      <w:pPr>
        <w:spacing w:after="0" w:line="134" w:lineRule="exact"/>
        <w:rPr>
          <w:sz w:val="20"/>
          <w:szCs w:val="20"/>
          <w:color w:val="auto"/>
        </w:rPr>
      </w:pPr>
    </w:p>
    <w:p>
      <w:pPr>
        <w:ind w:right="300" w:firstLine="520"/>
        <w:spacing w:after="0" w:line="263" w:lineRule="auto"/>
        <w:rPr>
          <w:sz w:val="20"/>
          <w:szCs w:val="20"/>
          <w:color w:val="auto"/>
        </w:rPr>
      </w:pPr>
      <w:r>
        <w:rPr>
          <w:rFonts w:ascii="Arial" w:cs="Arial" w:eastAsia="Arial" w:hAnsi="Arial"/>
          <w:sz w:val="15"/>
          <w:szCs w:val="15"/>
          <w:color w:val="auto"/>
        </w:rPr>
        <w:t>The Sarbanes-Oxley Act requires, among other things, that we assess the effectiveness of our internal control over financial reporting annually and the effectiveness of our disclosure controls and procedures quarterly. In particular, Section 404 of the</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1390" cy="393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40"/>
          </w:cols>
          <w:pgMar w:left="220" w:top="564" w:right="239" w:bottom="1440" w:gutter="0" w:footer="0" w:header="0"/>
        </w:sectPr>
      </w:pPr>
    </w:p>
    <w:bookmarkStart w:id="48" w:name="page49"/>
    <w:bookmarkEnd w:id="48"/>
    <w:p>
      <w:pPr>
        <w:ind w:right="40"/>
        <w:spacing w:after="0" w:line="290" w:lineRule="auto"/>
        <w:rPr>
          <w:sz w:val="20"/>
          <w:szCs w:val="20"/>
          <w:color w:val="auto"/>
        </w:rPr>
      </w:pPr>
      <w:r>
        <w:rPr>
          <w:rFonts w:ascii="Arial" w:cs="Arial" w:eastAsia="Arial" w:hAnsi="Arial"/>
          <w:sz w:val="13"/>
          <w:szCs w:val="13"/>
          <w:color w:val="auto"/>
        </w:rPr>
        <w:t>Sarbanes-Oxley Act, or Section 404,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Our compliance with applicable provisions of Section 404 requires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 We have in the past identified control deficiencies, including a material weakness during the quarters ended June 30, 2015 and September 30, 2015. While we remediated this material weakness in 2015 and continue to seek improvements to enhance our control environment, we may identify additional material weaknesses or other deficiencies in the future.</w:t>
      </w:r>
    </w:p>
    <w:p>
      <w:pPr>
        <w:spacing w:after="0" w:line="135" w:lineRule="exact"/>
        <w:rPr>
          <w:sz w:val="20"/>
          <w:szCs w:val="20"/>
          <w:color w:val="auto"/>
        </w:rPr>
      </w:pPr>
    </w:p>
    <w:p>
      <w:pPr>
        <w:ind w:right="60" w:firstLine="520"/>
        <w:spacing w:after="0" w:line="250" w:lineRule="auto"/>
        <w:rPr>
          <w:sz w:val="20"/>
          <w:szCs w:val="20"/>
          <w:color w:val="auto"/>
        </w:rPr>
      </w:pPr>
      <w:r>
        <w:rPr>
          <w:rFonts w:ascii="Arial" w:cs="Arial" w:eastAsia="Arial" w:hAnsi="Arial"/>
          <w:sz w:val="15"/>
          <w:szCs w:val="15"/>
          <w:color w:val="auto"/>
        </w:rPr>
        <w:t>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raise capital in the future may be limited, and our failure to raise capital when needed could prevent us from growing.</w:t>
      </w:r>
    </w:p>
    <w:p>
      <w:pPr>
        <w:spacing w:after="0" w:line="91" w:lineRule="exact"/>
        <w:rPr>
          <w:sz w:val="20"/>
          <w:szCs w:val="20"/>
          <w:color w:val="auto"/>
        </w:rPr>
      </w:pPr>
    </w:p>
    <w:p>
      <w:pPr>
        <w:ind w:right="140" w:firstLine="520"/>
        <w:spacing w:after="0" w:line="291" w:lineRule="auto"/>
        <w:rPr>
          <w:sz w:val="20"/>
          <w:szCs w:val="20"/>
          <w:color w:val="auto"/>
        </w:rPr>
      </w:pPr>
      <w:r>
        <w:rPr>
          <w:rFonts w:ascii="Arial" w:cs="Arial" w:eastAsia="Arial" w:hAnsi="Arial"/>
          <w:sz w:val="13"/>
          <w:szCs w:val="13"/>
          <w:color w:val="auto"/>
        </w:rPr>
        <w:t>Our business and operations may consume resources faster than we anticipate. In the future, we may need to raise additional funds to invest in future growth opportunities. Additional financing may not be available on favorable terms, if at all. If adequate funds are not available on acceptable terms, we may be unable to invest in future growth opportunities, which could seriously harm our business and operating results. If we incur debt, the debt holders would have rights senior to common stockholders to make claims on our assets, and the terms of any debt could restrict our operations, including our ability to pay dividends on our common stock. Furthermore, if we issue equity securities, stockholders will experience dilution, and the new equity securities could have rights senior to those of our common stock. The 2022 Notes are and any additional equity or equity-linked financings would be dilutive to our stockholders. Because our decision to issue securities in any future offering will depend on market conditions and other factors beyond our control, we cannot predict or estimate the amount, timing or nature of our future offerings. As a result, our stockholders bear the risk of our future securities offerings reducing the market price of our common stock and diluting their interest.</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Anti-takeover provisions in our charter documents and Delaware law may delay or prevent an acquisition of our company.</w:t>
      </w:r>
    </w:p>
    <w:p>
      <w:pPr>
        <w:spacing w:after="0" w:line="91" w:lineRule="exact"/>
        <w:rPr>
          <w:sz w:val="20"/>
          <w:szCs w:val="20"/>
          <w:color w:val="auto"/>
        </w:rPr>
      </w:pPr>
    </w:p>
    <w:p>
      <w:pPr>
        <w:ind w:right="100" w:firstLine="520"/>
        <w:spacing w:after="0" w:line="263" w:lineRule="auto"/>
        <w:rPr>
          <w:sz w:val="20"/>
          <w:szCs w:val="20"/>
          <w:color w:val="auto"/>
        </w:rPr>
      </w:pPr>
      <w:r>
        <w:rPr>
          <w:rFonts w:ascii="Arial" w:cs="Arial" w:eastAsia="Arial" w:hAnsi="Arial"/>
          <w:sz w:val="15"/>
          <w:szCs w:val="15"/>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61" w:lineRule="exact"/>
        <w:rPr>
          <w:sz w:val="20"/>
          <w:szCs w:val="20"/>
          <w:color w:val="auto"/>
        </w:rPr>
      </w:pPr>
    </w:p>
    <w:p>
      <w:pPr>
        <w:ind w:left="1040" w:hanging="517"/>
        <w:spacing w:after="0" w:line="263" w:lineRule="auto"/>
        <w:tabs>
          <w:tab w:leader="none" w:pos="10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authorize “blank check” preferred stock, which could be issued by the board without stockholder approval and may contain voting, liquidation, dividend and other rights superior to our common stock;</w:t>
      </w:r>
    </w:p>
    <w:p>
      <w:pPr>
        <w:spacing w:after="0" w:line="60" w:lineRule="exact"/>
        <w:rPr>
          <w:rFonts w:ascii="Arial" w:cs="Arial" w:eastAsia="Arial" w:hAnsi="Arial"/>
          <w:sz w:val="15"/>
          <w:szCs w:val="15"/>
          <w:color w:val="auto"/>
        </w:rPr>
      </w:pPr>
    </w:p>
    <w:p>
      <w:pPr>
        <w:ind w:left="1040" w:hanging="517"/>
        <w:spacing w:after="0"/>
        <w:tabs>
          <w:tab w:leader="none" w:pos="10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provide for a classified board of directors whose members serve staggered three-year terms;</w:t>
      </w:r>
    </w:p>
    <w:p>
      <w:pPr>
        <w:spacing w:after="0" w:line="90" w:lineRule="exact"/>
        <w:rPr>
          <w:rFonts w:ascii="Arial" w:cs="Arial" w:eastAsia="Arial" w:hAnsi="Arial"/>
          <w:sz w:val="15"/>
          <w:szCs w:val="15"/>
          <w:color w:val="auto"/>
        </w:rPr>
      </w:pPr>
    </w:p>
    <w:p>
      <w:pPr>
        <w:ind w:left="1040" w:hanging="517"/>
        <w:spacing w:after="0"/>
        <w:tabs>
          <w:tab w:leader="none" w:pos="10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specify that special meetings of our stockholders can be called only by our board of directors, the chairperson of the board, the chief executive officer or the president;</w:t>
      </w:r>
    </w:p>
    <w:p>
      <w:pPr>
        <w:spacing w:after="0" w:line="102" w:lineRule="exact"/>
        <w:rPr>
          <w:rFonts w:ascii="Arial" w:cs="Arial" w:eastAsia="Arial" w:hAnsi="Arial"/>
          <w:sz w:val="14"/>
          <w:szCs w:val="14"/>
          <w:color w:val="auto"/>
        </w:rPr>
      </w:pPr>
    </w:p>
    <w:p>
      <w:pPr>
        <w:ind w:left="1040" w:hanging="517"/>
        <w:spacing w:after="0"/>
        <w:tabs>
          <w:tab w:leader="none" w:pos="10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prohibit stockholder action by written consent;</w:t>
      </w:r>
    </w:p>
    <w:p>
      <w:pPr>
        <w:spacing w:after="0" w:line="90" w:lineRule="exact"/>
        <w:rPr>
          <w:rFonts w:ascii="Arial" w:cs="Arial" w:eastAsia="Arial" w:hAnsi="Arial"/>
          <w:sz w:val="15"/>
          <w:szCs w:val="15"/>
          <w:color w:val="auto"/>
        </w:rPr>
      </w:pPr>
    </w:p>
    <w:p>
      <w:pPr>
        <w:ind w:left="1040" w:right="320" w:hanging="517"/>
        <w:spacing w:after="0" w:line="263" w:lineRule="auto"/>
        <w:tabs>
          <w:tab w:leader="none" w:pos="10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establish an advance notice procedure for stockholder approvals to be brought before an annual meeting of our stockholders, including proposed nominations of persons for election to our board of directors;</w:t>
      </w:r>
    </w:p>
    <w:p>
      <w:pPr>
        <w:spacing w:after="0" w:line="60" w:lineRule="exact"/>
        <w:rPr>
          <w:rFonts w:ascii="Arial" w:cs="Arial" w:eastAsia="Arial" w:hAnsi="Arial"/>
          <w:sz w:val="15"/>
          <w:szCs w:val="15"/>
          <w:color w:val="auto"/>
        </w:rPr>
      </w:pPr>
    </w:p>
    <w:p>
      <w:pPr>
        <w:ind w:left="1040" w:hanging="517"/>
        <w:spacing w:after="0"/>
        <w:tabs>
          <w:tab w:leader="none" w:pos="10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provide that our directors may be removed only for cause;</w:t>
      </w:r>
    </w:p>
    <w:p>
      <w:pPr>
        <w:spacing w:after="0" w:line="90" w:lineRule="exact"/>
        <w:rPr>
          <w:rFonts w:ascii="Arial" w:cs="Arial" w:eastAsia="Arial" w:hAnsi="Arial"/>
          <w:sz w:val="15"/>
          <w:szCs w:val="15"/>
          <w:color w:val="auto"/>
        </w:rPr>
      </w:pPr>
    </w:p>
    <w:p>
      <w:pPr>
        <w:ind w:left="1040" w:hanging="517"/>
        <w:spacing w:after="0"/>
        <w:tabs>
          <w:tab w:leader="none" w:pos="10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provide that vacancies on our board of directors may be filled only by a majority of directors then in office, even though less than a quorum;</w:t>
      </w:r>
    </w:p>
    <w:p>
      <w:pPr>
        <w:spacing w:after="0" w:line="90" w:lineRule="exact"/>
        <w:rPr>
          <w:rFonts w:ascii="Arial" w:cs="Arial" w:eastAsia="Arial" w:hAnsi="Arial"/>
          <w:sz w:val="15"/>
          <w:szCs w:val="15"/>
          <w:color w:val="auto"/>
        </w:rPr>
      </w:pPr>
    </w:p>
    <w:p>
      <w:pPr>
        <w:ind w:left="1040" w:hanging="517"/>
        <w:spacing w:after="0"/>
        <w:tabs>
          <w:tab w:leader="none" w:pos="10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specify that no stockholder is permitted to cumulate votes at any election of directors;</w:t>
      </w:r>
    </w:p>
    <w:p>
      <w:pPr>
        <w:spacing w:after="0" w:line="90" w:lineRule="exact"/>
        <w:rPr>
          <w:rFonts w:ascii="Arial" w:cs="Arial" w:eastAsia="Arial" w:hAnsi="Arial"/>
          <w:sz w:val="15"/>
          <w:szCs w:val="15"/>
          <w:color w:val="auto"/>
        </w:rPr>
      </w:pPr>
    </w:p>
    <w:p>
      <w:pPr>
        <w:ind w:left="1040" w:hanging="517"/>
        <w:spacing w:after="0"/>
        <w:tabs>
          <w:tab w:leader="none" w:pos="10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authorize our board of directors to modify, alter or repeal our amended and restated bylaws; and</w:t>
      </w:r>
    </w:p>
    <w:p>
      <w:pPr>
        <w:spacing w:after="0" w:line="90" w:lineRule="exact"/>
        <w:rPr>
          <w:rFonts w:ascii="Arial" w:cs="Arial" w:eastAsia="Arial" w:hAnsi="Arial"/>
          <w:sz w:val="15"/>
          <w:szCs w:val="15"/>
          <w:color w:val="auto"/>
        </w:rPr>
      </w:pPr>
    </w:p>
    <w:p>
      <w:pPr>
        <w:ind w:left="1040" w:hanging="517"/>
        <w:spacing w:after="0"/>
        <w:tabs>
          <w:tab w:leader="none" w:pos="10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require supermajority votes of the holders of our common stock to amend specified provisions of our charter documents.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1390" cy="393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20"/>
          </w:cols>
          <w:pgMar w:left="220" w:top="480" w:right="259" w:bottom="1440" w:gutter="0" w:footer="0" w:header="0"/>
        </w:sectPr>
      </w:pPr>
    </w:p>
    <w:bookmarkStart w:id="49" w:name="page50"/>
    <w:bookmarkEnd w:id="49"/>
    <w:p>
      <w:pPr>
        <w:ind w:left="520"/>
        <w:spacing w:after="0"/>
        <w:rPr>
          <w:sz w:val="20"/>
          <w:szCs w:val="20"/>
          <w:color w:val="auto"/>
        </w:rPr>
      </w:pPr>
      <w:r>
        <w:rPr>
          <w:rFonts w:ascii="Arial" w:cs="Arial" w:eastAsia="Arial" w:hAnsi="Arial"/>
          <w:sz w:val="15"/>
          <w:szCs w:val="15"/>
          <w:color w:val="auto"/>
        </w:rPr>
        <w:t>These provisions, alone or together, could delay or prevent hostile takeovers and changes in control or changes in our management.</w:t>
      </w:r>
    </w:p>
    <w:p>
      <w:pPr>
        <w:spacing w:after="0" w:line="179" w:lineRule="exact"/>
        <w:rPr>
          <w:sz w:val="20"/>
          <w:szCs w:val="20"/>
          <w:color w:val="auto"/>
        </w:rPr>
      </w:pPr>
    </w:p>
    <w:p>
      <w:pPr>
        <w:ind w:right="600" w:firstLine="520"/>
        <w:spacing w:after="0" w:line="263" w:lineRule="auto"/>
        <w:rPr>
          <w:sz w:val="20"/>
          <w:szCs w:val="20"/>
          <w:color w:val="auto"/>
        </w:rPr>
      </w:pPr>
      <w:r>
        <w:rPr>
          <w:rFonts w:ascii="Arial" w:cs="Arial" w:eastAsia="Arial" w:hAnsi="Arial"/>
          <w:sz w:val="15"/>
          <w:szCs w:val="15"/>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 in certain circumstances.</w:t>
      </w:r>
    </w:p>
    <w:p>
      <w:pPr>
        <w:spacing w:after="0" w:line="149" w:lineRule="exact"/>
        <w:rPr>
          <w:sz w:val="20"/>
          <w:szCs w:val="20"/>
          <w:color w:val="auto"/>
        </w:rPr>
      </w:pPr>
    </w:p>
    <w:p>
      <w:pPr>
        <w:ind w:firstLine="520"/>
        <w:spacing w:after="0" w:line="253" w:lineRule="auto"/>
        <w:rPr>
          <w:sz w:val="20"/>
          <w:szCs w:val="20"/>
          <w:color w:val="auto"/>
        </w:rPr>
      </w:pPr>
      <w:r>
        <w:rPr>
          <w:rFonts w:ascii="Arial" w:cs="Arial" w:eastAsia="Arial" w:hAnsi="Arial"/>
          <w:sz w:val="15"/>
          <w:szCs w:val="15"/>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1"/>
          <w:szCs w:val="11"/>
          <w:b w:val="1"/>
          <w:bCs w:val="1"/>
          <w:color w:val="auto"/>
        </w:rPr>
        <w:t>Unregistered Sales of Equity Securities and Use of Proceeds</w:t>
      </w:r>
    </w:p>
    <w:p>
      <w:pPr>
        <w:spacing w:after="0" w:line="95" w:lineRule="exact"/>
        <w:rPr>
          <w:sz w:val="20"/>
          <w:szCs w:val="20"/>
          <w:color w:val="auto"/>
        </w:rPr>
      </w:pPr>
    </w:p>
    <w:p>
      <w:pPr>
        <w:ind w:left="520"/>
        <w:spacing w:after="0"/>
        <w:rPr>
          <w:sz w:val="20"/>
          <w:szCs w:val="20"/>
          <w:color w:val="auto"/>
        </w:rPr>
      </w:pPr>
      <w:r>
        <w:rPr>
          <w:rFonts w:ascii="Arial" w:cs="Arial" w:eastAsia="Arial" w:hAnsi="Arial"/>
          <w:sz w:val="15"/>
          <w:szCs w:val="15"/>
          <w:color w:val="auto"/>
        </w:rPr>
        <w:t>None.</w:t>
      </w:r>
    </w:p>
    <w:p>
      <w:pPr>
        <w:spacing w:after="0" w:line="32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b w:val="1"/>
          <w:bCs w:val="1"/>
          <w:color w:val="auto"/>
        </w:rPr>
        <w:t>Item 3.</w:t>
      </w:r>
      <w:r>
        <w:rPr>
          <w:sz w:val="20"/>
          <w:szCs w:val="20"/>
          <w:color w:val="auto"/>
        </w:rPr>
        <w:tab/>
      </w:r>
      <w:r>
        <w:rPr>
          <w:rFonts w:ascii="Arial" w:cs="Arial" w:eastAsia="Arial" w:hAnsi="Arial"/>
          <w:sz w:val="11"/>
          <w:szCs w:val="11"/>
          <w:b w:val="1"/>
          <w:bCs w:val="1"/>
          <w:color w:val="auto"/>
        </w:rPr>
        <w:t>Defaults on Senior Securities</w:t>
      </w:r>
    </w:p>
    <w:p>
      <w:pPr>
        <w:spacing w:after="0" w:line="95" w:lineRule="exact"/>
        <w:rPr>
          <w:sz w:val="20"/>
          <w:szCs w:val="20"/>
          <w:color w:val="auto"/>
        </w:rPr>
      </w:pPr>
    </w:p>
    <w:p>
      <w:pPr>
        <w:ind w:left="520"/>
        <w:spacing w:after="0"/>
        <w:rPr>
          <w:sz w:val="20"/>
          <w:szCs w:val="20"/>
          <w:color w:val="auto"/>
        </w:rPr>
      </w:pPr>
      <w:r>
        <w:rPr>
          <w:rFonts w:ascii="Arial" w:cs="Arial" w:eastAsia="Arial" w:hAnsi="Arial"/>
          <w:sz w:val="15"/>
          <w:szCs w:val="15"/>
          <w:color w:val="auto"/>
        </w:rPr>
        <w:t>None.</w:t>
      </w:r>
    </w:p>
    <w:p>
      <w:pPr>
        <w:spacing w:after="0" w:line="32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b w:val="1"/>
          <w:bCs w:val="1"/>
          <w:color w:val="auto"/>
        </w:rPr>
        <w:t>Item 4.</w:t>
      </w:r>
      <w:r>
        <w:rPr>
          <w:sz w:val="20"/>
          <w:szCs w:val="20"/>
          <w:color w:val="auto"/>
        </w:rPr>
        <w:tab/>
      </w:r>
      <w:r>
        <w:rPr>
          <w:rFonts w:ascii="Arial" w:cs="Arial" w:eastAsia="Arial" w:hAnsi="Arial"/>
          <w:sz w:val="13"/>
          <w:szCs w:val="13"/>
          <w:b w:val="1"/>
          <w:bCs w:val="1"/>
          <w:color w:val="auto"/>
        </w:rPr>
        <w:t>Mine Safety Disclosures</w:t>
      </w:r>
    </w:p>
    <w:p>
      <w:pPr>
        <w:spacing w:after="0" w:line="95" w:lineRule="exact"/>
        <w:rPr>
          <w:sz w:val="20"/>
          <w:szCs w:val="20"/>
          <w:color w:val="auto"/>
        </w:rPr>
      </w:pPr>
    </w:p>
    <w:p>
      <w:pPr>
        <w:ind w:left="520"/>
        <w:spacing w:after="0"/>
        <w:rPr>
          <w:sz w:val="20"/>
          <w:szCs w:val="20"/>
          <w:color w:val="auto"/>
        </w:rPr>
      </w:pPr>
      <w:r>
        <w:rPr>
          <w:rFonts w:ascii="Arial" w:cs="Arial" w:eastAsia="Arial" w:hAnsi="Arial"/>
          <w:sz w:val="15"/>
          <w:szCs w:val="15"/>
          <w:color w:val="auto"/>
        </w:rPr>
        <w:t>Not Applicable.</w:t>
      </w:r>
    </w:p>
    <w:p>
      <w:pPr>
        <w:spacing w:after="0" w:line="32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b w:val="1"/>
          <w:bCs w:val="1"/>
          <w:color w:val="auto"/>
        </w:rPr>
        <w:t>Item 5.</w:t>
      </w:r>
      <w:r>
        <w:rPr>
          <w:sz w:val="20"/>
          <w:szCs w:val="20"/>
          <w:color w:val="auto"/>
        </w:rPr>
        <w:tab/>
      </w:r>
      <w:r>
        <w:rPr>
          <w:rFonts w:ascii="Arial" w:cs="Arial" w:eastAsia="Arial" w:hAnsi="Arial"/>
          <w:sz w:val="13"/>
          <w:szCs w:val="13"/>
          <w:b w:val="1"/>
          <w:bCs w:val="1"/>
          <w:color w:val="auto"/>
        </w:rPr>
        <w:t>Other Information</w:t>
      </w:r>
    </w:p>
    <w:p>
      <w:pPr>
        <w:spacing w:after="0" w:line="95" w:lineRule="exact"/>
        <w:rPr>
          <w:sz w:val="20"/>
          <w:szCs w:val="20"/>
          <w:color w:val="auto"/>
        </w:rPr>
      </w:pPr>
    </w:p>
    <w:p>
      <w:pPr>
        <w:ind w:left="520"/>
        <w:spacing w:after="0"/>
        <w:rPr>
          <w:sz w:val="20"/>
          <w:szCs w:val="20"/>
          <w:color w:val="auto"/>
        </w:rPr>
      </w:pPr>
      <w:r>
        <w:rPr>
          <w:rFonts w:ascii="Arial" w:cs="Arial" w:eastAsia="Arial" w:hAnsi="Arial"/>
          <w:sz w:val="15"/>
          <w:szCs w:val="15"/>
          <w:color w:val="auto"/>
        </w:rPr>
        <w:t>None.</w:t>
      </w:r>
    </w:p>
    <w:p>
      <w:pPr>
        <w:spacing w:after="0" w:line="200" w:lineRule="exact"/>
        <w:rPr>
          <w:sz w:val="20"/>
          <w:szCs w:val="20"/>
          <w:color w:val="auto"/>
        </w:rPr>
      </w:pPr>
    </w:p>
    <w:p>
      <w:pPr>
        <w:spacing w:after="0" w:line="308"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1390" cy="393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300"/>
          </w:cols>
          <w:pgMar w:left="220" w:top="480" w:right="379" w:bottom="1440" w:gutter="0" w:footer="0" w:header="0"/>
        </w:sectPr>
      </w:pPr>
    </w:p>
    <w:bookmarkStart w:id="50" w:name="page51"/>
    <w:bookmarkEnd w:id="50"/>
    <w:p>
      <w:pPr>
        <w:spacing w:after="0"/>
        <w:tabs>
          <w:tab w:leader="none" w:pos="1020" w:val="left"/>
        </w:tabs>
        <w:rPr>
          <w:sz w:val="20"/>
          <w:szCs w:val="20"/>
          <w:color w:val="auto"/>
        </w:rPr>
      </w:pPr>
      <w:r>
        <w:rPr>
          <w:rFonts w:ascii="Arial" w:cs="Arial" w:eastAsia="Arial" w:hAnsi="Arial"/>
          <w:sz w:val="15"/>
          <w:szCs w:val="15"/>
          <w:b w:val="1"/>
          <w:bCs w:val="1"/>
          <w:color w:val="auto"/>
        </w:rPr>
        <w:t>Item 6.</w:t>
      </w:r>
      <w:r>
        <w:rPr>
          <w:sz w:val="20"/>
          <w:szCs w:val="20"/>
          <w:color w:val="auto"/>
        </w:rPr>
        <w:tab/>
      </w:r>
      <w:r>
        <w:rPr>
          <w:rFonts w:ascii="Arial" w:cs="Arial" w:eastAsia="Arial" w:hAnsi="Arial"/>
          <w:sz w:val="13"/>
          <w:szCs w:val="13"/>
          <w:b w:val="1"/>
          <w:bCs w:val="1"/>
          <w:color w:val="auto"/>
        </w:rPr>
        <w:t>Exhibits</w:t>
      </w:r>
    </w:p>
    <w:p>
      <w:pPr>
        <w:spacing w:after="0" w:line="95"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exhibits listed below are filed or incorporated by reference into this Report.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40" w:type="dxa"/>
            <w:vAlign w:val="bottom"/>
          </w:tcPr>
          <w:p>
            <w:pPr>
              <w:jc w:val="right"/>
              <w:ind w:right="469"/>
              <w:spacing w:after="0"/>
              <w:rPr>
                <w:sz w:val="20"/>
                <w:szCs w:val="20"/>
                <w:color w:val="auto"/>
              </w:rPr>
            </w:pPr>
            <w:r>
              <w:rPr>
                <w:rFonts w:ascii="Arial" w:cs="Arial" w:eastAsia="Arial" w:hAnsi="Arial"/>
                <w:sz w:val="12"/>
                <w:szCs w:val="12"/>
                <w:b w:val="1"/>
                <w:bCs w:val="1"/>
                <w:color w:val="auto"/>
              </w:rPr>
              <w:t>Exhibit</w:t>
            </w:r>
          </w:p>
        </w:tc>
        <w:tc>
          <w:tcPr>
            <w:tcW w:w="3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0"/>
        </w:trPr>
        <w:tc>
          <w:tcPr>
            <w:tcW w:w="1140" w:type="dxa"/>
            <w:vAlign w:val="bottom"/>
          </w:tcPr>
          <w:p>
            <w:pPr>
              <w:jc w:val="right"/>
              <w:ind w:right="449"/>
              <w:spacing w:after="0"/>
              <w:rPr>
                <w:sz w:val="20"/>
                <w:szCs w:val="20"/>
                <w:color w:val="auto"/>
              </w:rPr>
            </w:pPr>
            <w:r>
              <w:rPr>
                <w:rFonts w:ascii="Arial" w:cs="Arial" w:eastAsia="Arial" w:hAnsi="Arial"/>
                <w:sz w:val="12"/>
                <w:szCs w:val="12"/>
                <w:b w:val="1"/>
                <w:bCs w:val="1"/>
                <w:color w:val="auto"/>
              </w:rPr>
              <w:t>Number</w:t>
            </w:r>
          </w:p>
        </w:tc>
        <w:tc>
          <w:tcPr>
            <w:tcW w:w="3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320" w:type="dxa"/>
            <w:vAlign w:val="bottom"/>
            <w:gridSpan w:val="6"/>
          </w:tcPr>
          <w:p>
            <w:pPr>
              <w:ind w:left="840"/>
              <w:spacing w:after="0"/>
              <w:rPr>
                <w:sz w:val="20"/>
                <w:szCs w:val="20"/>
                <w:color w:val="auto"/>
              </w:rPr>
            </w:pPr>
            <w:r>
              <w:rPr>
                <w:rFonts w:ascii="Arial" w:cs="Arial" w:eastAsia="Arial" w:hAnsi="Arial"/>
                <w:sz w:val="12"/>
                <w:szCs w:val="12"/>
                <w:b w:val="1"/>
                <w:bCs w:val="1"/>
                <w:color w:val="auto"/>
              </w:rPr>
              <w:t>Exhibit Title</w:t>
            </w:r>
          </w:p>
        </w:tc>
      </w:tr>
      <w:tr>
        <w:trPr>
          <w:trHeight w:val="229"/>
        </w:trPr>
        <w:tc>
          <w:tcPr>
            <w:tcW w:w="1140" w:type="dxa"/>
            <w:vAlign w:val="bottom"/>
          </w:tcPr>
          <w:p>
            <w:pPr>
              <w:jc w:val="right"/>
              <w:ind w:right="569"/>
              <w:spacing w:after="0"/>
              <w:rPr>
                <w:sz w:val="20"/>
                <w:szCs w:val="20"/>
                <w:color w:val="auto"/>
              </w:rPr>
            </w:pPr>
            <w:r>
              <w:rPr>
                <w:rFonts w:ascii="Arial" w:cs="Arial" w:eastAsia="Arial" w:hAnsi="Arial"/>
                <w:sz w:val="15"/>
                <w:szCs w:val="15"/>
                <w:color w:val="auto"/>
              </w:rPr>
              <w:t>3.1(1)</w:t>
            </w:r>
          </w:p>
        </w:tc>
        <w:tc>
          <w:tcPr>
            <w:tcW w:w="4020" w:type="dxa"/>
            <w:vAlign w:val="bottom"/>
            <w:tcBorders>
              <w:bottom w:val="single" w:sz="8" w:color="0000EE"/>
            </w:tcBorders>
            <w:gridSpan w:val="3"/>
          </w:tcPr>
          <w:p>
            <w:pPr>
              <w:spacing w:after="0"/>
              <w:rPr>
                <w:rFonts w:ascii="Arial" w:cs="Arial" w:eastAsia="Arial" w:hAnsi="Arial"/>
                <w:sz w:val="15"/>
                <w:szCs w:val="15"/>
                <w:color w:val="0000EE"/>
                <w:w w:val="88"/>
              </w:rPr>
            </w:pPr>
            <w:hyperlink r:id="rId89">
              <w:r>
                <w:rPr>
                  <w:rFonts w:ascii="Arial" w:cs="Arial" w:eastAsia="Arial" w:hAnsi="Arial"/>
                  <w:sz w:val="15"/>
                  <w:szCs w:val="15"/>
                  <w:color w:val="0000EE"/>
                  <w:w w:val="88"/>
                </w:rPr>
                <w:t>Amended and Restated Certificate of Incorporation of the Registrant</w:t>
              </w:r>
            </w:hyperlink>
          </w:p>
        </w:tc>
        <w:tc>
          <w:tcPr>
            <w:tcW w:w="4320" w:type="dxa"/>
            <w:vAlign w:val="bottom"/>
            <w:gridSpan w:val="6"/>
          </w:tcPr>
          <w:p>
            <w:pPr>
              <w:spacing w:after="0"/>
              <w:rPr>
                <w:sz w:val="19"/>
                <w:szCs w:val="19"/>
                <w:color w:val="auto"/>
              </w:rPr>
            </w:pPr>
          </w:p>
        </w:tc>
      </w:tr>
      <w:tr>
        <w:trPr>
          <w:trHeight w:val="254"/>
        </w:trPr>
        <w:tc>
          <w:tcPr>
            <w:tcW w:w="1140" w:type="dxa"/>
            <w:vAlign w:val="bottom"/>
          </w:tcPr>
          <w:p>
            <w:pPr>
              <w:jc w:val="right"/>
              <w:ind w:right="569"/>
              <w:spacing w:after="0"/>
              <w:rPr>
                <w:sz w:val="20"/>
                <w:szCs w:val="20"/>
                <w:color w:val="auto"/>
              </w:rPr>
            </w:pPr>
            <w:r>
              <w:rPr>
                <w:rFonts w:ascii="Arial" w:cs="Arial" w:eastAsia="Arial" w:hAnsi="Arial"/>
                <w:sz w:val="15"/>
                <w:szCs w:val="15"/>
                <w:color w:val="auto"/>
              </w:rPr>
              <w:t>3.2(2)</w:t>
            </w:r>
          </w:p>
        </w:tc>
        <w:tc>
          <w:tcPr>
            <w:tcW w:w="3320" w:type="dxa"/>
            <w:vAlign w:val="bottom"/>
            <w:tcBorders>
              <w:bottom w:val="single" w:sz="8" w:color="0000EE"/>
            </w:tcBorders>
            <w:gridSpan w:val="2"/>
          </w:tcPr>
          <w:p>
            <w:pPr>
              <w:spacing w:after="0"/>
              <w:rPr>
                <w:rFonts w:ascii="Arial" w:cs="Arial" w:eastAsia="Arial" w:hAnsi="Arial"/>
                <w:sz w:val="15"/>
                <w:szCs w:val="15"/>
                <w:color w:val="0000EE"/>
                <w:w w:val="87"/>
              </w:rPr>
            </w:pPr>
            <w:hyperlink r:id="rId90">
              <w:r>
                <w:rPr>
                  <w:rFonts w:ascii="Arial" w:cs="Arial" w:eastAsia="Arial" w:hAnsi="Arial"/>
                  <w:sz w:val="15"/>
                  <w:szCs w:val="15"/>
                  <w:color w:val="0000EE"/>
                  <w:w w:val="87"/>
                </w:rPr>
                <w:t>Second Amended and Restated Bylaws of the Registrant</w:t>
              </w:r>
            </w:hyperlink>
          </w:p>
        </w:tc>
        <w:tc>
          <w:tcPr>
            <w:tcW w:w="5020" w:type="dxa"/>
            <w:vAlign w:val="bottom"/>
            <w:gridSpan w:val="7"/>
          </w:tcPr>
          <w:p>
            <w:pPr>
              <w:spacing w:after="0"/>
              <w:rPr>
                <w:sz w:val="22"/>
                <w:szCs w:val="22"/>
                <w:color w:val="auto"/>
              </w:rPr>
            </w:pPr>
          </w:p>
        </w:tc>
      </w:tr>
      <w:tr>
        <w:trPr>
          <w:trHeight w:val="331"/>
        </w:trPr>
        <w:tc>
          <w:tcPr>
            <w:tcW w:w="1140" w:type="dxa"/>
            <w:vAlign w:val="bottom"/>
          </w:tcPr>
          <w:p>
            <w:pPr>
              <w:jc w:val="right"/>
              <w:ind w:right="569"/>
              <w:spacing w:after="0"/>
              <w:rPr>
                <w:sz w:val="20"/>
                <w:szCs w:val="20"/>
                <w:color w:val="auto"/>
              </w:rPr>
            </w:pPr>
            <w:r>
              <w:rPr>
                <w:rFonts w:ascii="Arial" w:cs="Arial" w:eastAsia="Arial" w:hAnsi="Arial"/>
                <w:sz w:val="15"/>
                <w:szCs w:val="15"/>
                <w:color w:val="auto"/>
              </w:rPr>
              <w:t>4.1(3)</w:t>
            </w:r>
          </w:p>
        </w:tc>
        <w:tc>
          <w:tcPr>
            <w:tcW w:w="8340" w:type="dxa"/>
            <w:vAlign w:val="bottom"/>
            <w:gridSpan w:val="9"/>
          </w:tcPr>
          <w:p>
            <w:pPr>
              <w:spacing w:after="0"/>
              <w:rPr>
                <w:rFonts w:ascii="Arial" w:cs="Arial" w:eastAsia="Arial" w:hAnsi="Arial"/>
                <w:sz w:val="15"/>
                <w:szCs w:val="15"/>
                <w:color w:val="0000EE"/>
              </w:rPr>
            </w:pPr>
            <w:hyperlink r:id="rId91">
              <w:r>
                <w:rPr>
                  <w:rFonts w:ascii="Arial" w:cs="Arial" w:eastAsia="Arial" w:hAnsi="Arial"/>
                  <w:sz w:val="15"/>
                  <w:szCs w:val="15"/>
                  <w:color w:val="0000EE"/>
                </w:rPr>
                <w:t>Form of Common Stock certificate of the Registrant</w:t>
              </w:r>
            </w:hyperlink>
          </w:p>
        </w:tc>
      </w:tr>
      <w:tr>
        <w:trPr>
          <w:trHeight w:val="20"/>
        </w:trPr>
        <w:tc>
          <w:tcPr>
            <w:tcW w:w="11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7"/>
        </w:trPr>
        <w:tc>
          <w:tcPr>
            <w:tcW w:w="1140" w:type="dxa"/>
            <w:vAlign w:val="bottom"/>
          </w:tcPr>
          <w:p>
            <w:pPr>
              <w:jc w:val="right"/>
              <w:ind w:right="569"/>
              <w:spacing w:after="0"/>
              <w:rPr>
                <w:sz w:val="20"/>
                <w:szCs w:val="20"/>
                <w:color w:val="auto"/>
              </w:rPr>
            </w:pPr>
            <w:r>
              <w:rPr>
                <w:rFonts w:ascii="Arial" w:cs="Arial" w:eastAsia="Arial" w:hAnsi="Arial"/>
                <w:sz w:val="15"/>
                <w:szCs w:val="15"/>
                <w:color w:val="auto"/>
              </w:rPr>
              <w:t>10.1(4)</w:t>
            </w:r>
          </w:p>
        </w:tc>
        <w:tc>
          <w:tcPr>
            <w:tcW w:w="8340" w:type="dxa"/>
            <w:vAlign w:val="bottom"/>
            <w:gridSpan w:val="9"/>
          </w:tcPr>
          <w:p>
            <w:pPr>
              <w:spacing w:after="0"/>
              <w:rPr>
                <w:rFonts w:ascii="Arial" w:cs="Arial" w:eastAsia="Arial" w:hAnsi="Arial"/>
                <w:sz w:val="15"/>
                <w:szCs w:val="15"/>
                <w:color w:val="0000EE"/>
              </w:rPr>
            </w:pPr>
            <w:hyperlink w:anchor="page53">
              <w:r>
                <w:rPr>
                  <w:rFonts w:ascii="Arial" w:cs="Arial" w:eastAsia="Arial" w:hAnsi="Arial"/>
                  <w:sz w:val="15"/>
                  <w:szCs w:val="15"/>
                  <w:color w:val="0000EE"/>
                </w:rPr>
                <w:t>Second Amendment to Lease dated March 12, 2018 between One Canal Park Massachusetts, LLC and HubSpot, Inc.</w:t>
              </w:r>
            </w:hyperlink>
          </w:p>
        </w:tc>
      </w:tr>
      <w:tr>
        <w:trPr>
          <w:trHeight w:val="20"/>
        </w:trPr>
        <w:tc>
          <w:tcPr>
            <w:tcW w:w="1140" w:type="dxa"/>
            <w:vAlign w:val="bottom"/>
          </w:tcPr>
          <w:p>
            <w:pPr>
              <w:spacing w:after="0" w:line="20" w:lineRule="exact"/>
              <w:rPr>
                <w:sz w:val="1"/>
                <w:szCs w:val="1"/>
                <w:color w:val="auto"/>
              </w:rPr>
            </w:pPr>
          </w:p>
        </w:tc>
        <w:tc>
          <w:tcPr>
            <w:tcW w:w="658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8"/>
        </w:trPr>
        <w:tc>
          <w:tcPr>
            <w:tcW w:w="1140" w:type="dxa"/>
            <w:vAlign w:val="bottom"/>
          </w:tcPr>
          <w:p>
            <w:pPr>
              <w:jc w:val="right"/>
              <w:ind w:right="569"/>
              <w:spacing w:after="0"/>
              <w:rPr>
                <w:sz w:val="20"/>
                <w:szCs w:val="20"/>
                <w:color w:val="auto"/>
              </w:rPr>
            </w:pPr>
            <w:r>
              <w:rPr>
                <w:rFonts w:ascii="Arial" w:cs="Arial" w:eastAsia="Arial" w:hAnsi="Arial"/>
                <w:sz w:val="15"/>
                <w:szCs w:val="15"/>
                <w:color w:val="auto"/>
              </w:rPr>
              <w:t>10.2(4)</w:t>
            </w:r>
          </w:p>
        </w:tc>
        <w:tc>
          <w:tcPr>
            <w:tcW w:w="6880" w:type="dxa"/>
            <w:vAlign w:val="bottom"/>
            <w:tcBorders>
              <w:bottom w:val="single" w:sz="8" w:color="0000EE"/>
            </w:tcBorders>
            <w:gridSpan w:val="6"/>
          </w:tcPr>
          <w:p>
            <w:pPr>
              <w:spacing w:after="0"/>
              <w:rPr>
                <w:rFonts w:ascii="Arial" w:cs="Arial" w:eastAsia="Arial" w:hAnsi="Arial"/>
                <w:sz w:val="15"/>
                <w:szCs w:val="15"/>
                <w:color w:val="0000EE"/>
                <w:w w:val="87"/>
              </w:rPr>
            </w:pPr>
            <w:hyperlink w:anchor="page69">
              <w:r>
                <w:rPr>
                  <w:rFonts w:ascii="Arial" w:cs="Arial" w:eastAsia="Arial" w:hAnsi="Arial"/>
                  <w:sz w:val="15"/>
                  <w:szCs w:val="15"/>
                  <w:color w:val="0000EE"/>
                  <w:w w:val="87"/>
                </w:rPr>
                <w:t>Second Amendment to Lease dated March 12, 2018 between Two Canal Park Massachusetts, LLC and HubSpot, Inc.</w:t>
              </w:r>
            </w:hyperlink>
          </w:p>
        </w:tc>
        <w:tc>
          <w:tcPr>
            <w:tcW w:w="1460" w:type="dxa"/>
            <w:vAlign w:val="bottom"/>
            <w:gridSpan w:val="3"/>
          </w:tcPr>
          <w:p>
            <w:pPr>
              <w:spacing w:after="0"/>
              <w:rPr>
                <w:sz w:val="24"/>
                <w:szCs w:val="24"/>
                <w:color w:val="auto"/>
              </w:rPr>
            </w:pPr>
          </w:p>
        </w:tc>
      </w:tr>
      <w:tr>
        <w:trPr>
          <w:trHeight w:val="276"/>
        </w:trPr>
        <w:tc>
          <w:tcPr>
            <w:tcW w:w="1140" w:type="dxa"/>
            <w:vAlign w:val="bottom"/>
          </w:tcPr>
          <w:p>
            <w:pPr>
              <w:jc w:val="right"/>
              <w:ind w:right="569"/>
              <w:spacing w:after="0"/>
              <w:rPr>
                <w:sz w:val="20"/>
                <w:szCs w:val="20"/>
                <w:color w:val="auto"/>
              </w:rPr>
            </w:pPr>
            <w:r>
              <w:rPr>
                <w:rFonts w:ascii="Arial" w:cs="Arial" w:eastAsia="Arial" w:hAnsi="Arial"/>
                <w:sz w:val="15"/>
                <w:szCs w:val="15"/>
                <w:color w:val="auto"/>
              </w:rPr>
              <w:t>10.3(4)</w:t>
            </w:r>
          </w:p>
        </w:tc>
        <w:tc>
          <w:tcPr>
            <w:tcW w:w="6580" w:type="dxa"/>
            <w:vAlign w:val="bottom"/>
            <w:tcBorders>
              <w:bottom w:val="single" w:sz="8" w:color="0000EE"/>
            </w:tcBorders>
            <w:gridSpan w:val="4"/>
          </w:tcPr>
          <w:p>
            <w:pPr>
              <w:spacing w:after="0"/>
              <w:rPr>
                <w:rFonts w:ascii="Arial" w:cs="Arial" w:eastAsia="Arial" w:hAnsi="Arial"/>
                <w:sz w:val="15"/>
                <w:szCs w:val="15"/>
                <w:color w:val="0000EE"/>
                <w:w w:val="88"/>
              </w:rPr>
            </w:pPr>
            <w:hyperlink w:anchor="page73">
              <w:r>
                <w:rPr>
                  <w:rFonts w:ascii="Arial" w:cs="Arial" w:eastAsia="Arial" w:hAnsi="Arial"/>
                  <w:sz w:val="15"/>
                  <w:szCs w:val="15"/>
                  <w:color w:val="0000EE"/>
                  <w:w w:val="88"/>
                </w:rPr>
                <w:t>Third Amendment to Lease dated May 2, 2018 between One Canal Park Massachusetts, LLC and HubSpot, Inc.</w:t>
              </w:r>
            </w:hyperlink>
          </w:p>
        </w:tc>
        <w:tc>
          <w:tcPr>
            <w:tcW w:w="1760" w:type="dxa"/>
            <w:vAlign w:val="bottom"/>
            <w:gridSpan w:val="5"/>
          </w:tcPr>
          <w:p>
            <w:pPr>
              <w:spacing w:after="0"/>
              <w:rPr>
                <w:sz w:val="24"/>
                <w:szCs w:val="24"/>
                <w:color w:val="auto"/>
              </w:rPr>
            </w:pPr>
          </w:p>
        </w:tc>
      </w:tr>
      <w:tr>
        <w:trPr>
          <w:trHeight w:val="331"/>
        </w:trPr>
        <w:tc>
          <w:tcPr>
            <w:tcW w:w="1140" w:type="dxa"/>
            <w:vAlign w:val="bottom"/>
          </w:tcPr>
          <w:p>
            <w:pPr>
              <w:jc w:val="right"/>
              <w:ind w:right="569"/>
              <w:spacing w:after="0"/>
              <w:rPr>
                <w:sz w:val="20"/>
                <w:szCs w:val="20"/>
                <w:color w:val="auto"/>
              </w:rPr>
            </w:pPr>
            <w:r>
              <w:rPr>
                <w:rFonts w:ascii="Arial" w:cs="Arial" w:eastAsia="Arial" w:hAnsi="Arial"/>
                <w:sz w:val="15"/>
                <w:szCs w:val="15"/>
                <w:color w:val="auto"/>
              </w:rPr>
              <w:t>31.1(4)</w:t>
            </w:r>
          </w:p>
        </w:tc>
        <w:tc>
          <w:tcPr>
            <w:tcW w:w="8340" w:type="dxa"/>
            <w:vAlign w:val="bottom"/>
            <w:tcBorders>
              <w:bottom w:val="single" w:sz="8" w:color="0000EE"/>
            </w:tcBorders>
            <w:gridSpan w:val="9"/>
          </w:tcPr>
          <w:p>
            <w:pPr>
              <w:spacing w:after="0"/>
              <w:rPr>
                <w:rFonts w:ascii="Arial" w:cs="Arial" w:eastAsia="Arial" w:hAnsi="Arial"/>
                <w:sz w:val="15"/>
                <w:szCs w:val="15"/>
                <w:color w:val="0000EE"/>
                <w:w w:val="89"/>
              </w:rPr>
            </w:pPr>
            <w:hyperlink w:anchor="page77">
              <w:r>
                <w:rPr>
                  <w:rFonts w:ascii="Arial" w:cs="Arial" w:eastAsia="Arial" w:hAnsi="Arial"/>
                  <w:sz w:val="15"/>
                  <w:szCs w:val="15"/>
                  <w:color w:val="0000EE"/>
                  <w:w w:val="89"/>
                </w:rPr>
                <w:t>Certification of Principal Executive Officer pursuant to Rule 13a-14(a) or Rule 15d-14(a) of the Securities Exchange Act of 1934, as amended</w:t>
              </w:r>
            </w:hyperlink>
          </w:p>
        </w:tc>
      </w:tr>
      <w:tr>
        <w:trPr>
          <w:trHeight w:val="254"/>
        </w:trPr>
        <w:tc>
          <w:tcPr>
            <w:tcW w:w="1140" w:type="dxa"/>
            <w:vAlign w:val="bottom"/>
          </w:tcPr>
          <w:p>
            <w:pPr>
              <w:jc w:val="right"/>
              <w:ind w:right="569"/>
              <w:spacing w:after="0"/>
              <w:rPr>
                <w:sz w:val="20"/>
                <w:szCs w:val="20"/>
                <w:color w:val="auto"/>
              </w:rPr>
            </w:pPr>
            <w:r>
              <w:rPr>
                <w:rFonts w:ascii="Arial" w:cs="Arial" w:eastAsia="Arial" w:hAnsi="Arial"/>
                <w:sz w:val="15"/>
                <w:szCs w:val="15"/>
                <w:color w:val="auto"/>
              </w:rPr>
              <w:t>31.2(4)</w:t>
            </w:r>
          </w:p>
        </w:tc>
        <w:tc>
          <w:tcPr>
            <w:tcW w:w="8300" w:type="dxa"/>
            <w:vAlign w:val="bottom"/>
            <w:tcBorders>
              <w:bottom w:val="single" w:sz="8" w:color="0000EE"/>
            </w:tcBorders>
            <w:gridSpan w:val="8"/>
          </w:tcPr>
          <w:p>
            <w:pPr>
              <w:spacing w:after="0"/>
              <w:rPr>
                <w:rFonts w:ascii="Arial" w:cs="Arial" w:eastAsia="Arial" w:hAnsi="Arial"/>
                <w:sz w:val="15"/>
                <w:szCs w:val="15"/>
                <w:color w:val="0000EE"/>
                <w:w w:val="89"/>
              </w:rPr>
            </w:pPr>
            <w:hyperlink w:anchor="page78">
              <w:r>
                <w:rPr>
                  <w:rFonts w:ascii="Arial" w:cs="Arial" w:eastAsia="Arial" w:hAnsi="Arial"/>
                  <w:sz w:val="15"/>
                  <w:szCs w:val="15"/>
                  <w:color w:val="0000EE"/>
                  <w:w w:val="89"/>
                </w:rPr>
                <w:t>Certification of Principal Financial Officer pursuant to Rule 13a-14(a) or Rule 15d-14(a) of the Securities Exchange Act of 1934, as amended</w:t>
              </w:r>
            </w:hyperlink>
          </w:p>
        </w:tc>
        <w:tc>
          <w:tcPr>
            <w:tcW w:w="40" w:type="dxa"/>
            <w:vAlign w:val="bottom"/>
          </w:tcPr>
          <w:p>
            <w:pPr>
              <w:spacing w:after="0"/>
              <w:rPr>
                <w:sz w:val="22"/>
                <w:szCs w:val="22"/>
                <w:color w:val="auto"/>
              </w:rPr>
            </w:pPr>
          </w:p>
        </w:tc>
      </w:tr>
      <w:tr>
        <w:trPr>
          <w:trHeight w:val="254"/>
        </w:trPr>
        <w:tc>
          <w:tcPr>
            <w:tcW w:w="1140" w:type="dxa"/>
            <w:vAlign w:val="bottom"/>
          </w:tcPr>
          <w:p>
            <w:pPr>
              <w:jc w:val="right"/>
              <w:ind w:right="629"/>
              <w:spacing w:after="0"/>
              <w:rPr>
                <w:sz w:val="20"/>
                <w:szCs w:val="20"/>
                <w:color w:val="auto"/>
              </w:rPr>
            </w:pPr>
            <w:r>
              <w:rPr>
                <w:rFonts w:ascii="Arial" w:cs="Arial" w:eastAsia="Arial" w:hAnsi="Arial"/>
                <w:sz w:val="15"/>
                <w:szCs w:val="15"/>
                <w:color w:val="auto"/>
              </w:rPr>
              <w:t>32.1*</w:t>
            </w:r>
          </w:p>
        </w:tc>
        <w:tc>
          <w:tcPr>
            <w:tcW w:w="8340" w:type="dxa"/>
            <w:vAlign w:val="bottom"/>
            <w:gridSpan w:val="9"/>
          </w:tcPr>
          <w:p>
            <w:pPr>
              <w:spacing w:after="0"/>
              <w:rPr>
                <w:rFonts w:ascii="Arial" w:cs="Arial" w:eastAsia="Arial" w:hAnsi="Arial"/>
                <w:sz w:val="15"/>
                <w:szCs w:val="15"/>
                <w:color w:val="0000EE"/>
              </w:rPr>
            </w:pPr>
            <w:hyperlink w:anchor="page79">
              <w:r>
                <w:rPr>
                  <w:rFonts w:ascii="Arial" w:cs="Arial" w:eastAsia="Arial" w:hAnsi="Arial"/>
                  <w:sz w:val="15"/>
                  <w:szCs w:val="15"/>
                  <w:color w:val="0000EE"/>
                </w:rPr>
                <w:t>Certification of Principal Executive Officer and Principal Financial Officer pursuant to Section 906 of the Sarbanes-Oxley Act</w:t>
              </w:r>
            </w:hyperlink>
          </w:p>
        </w:tc>
      </w:tr>
      <w:tr>
        <w:trPr>
          <w:trHeight w:val="287"/>
        </w:trPr>
        <w:tc>
          <w:tcPr>
            <w:tcW w:w="1140" w:type="dxa"/>
            <w:vAlign w:val="bottom"/>
          </w:tcPr>
          <w:p>
            <w:pPr>
              <w:spacing w:after="0"/>
              <w:rPr>
                <w:sz w:val="20"/>
                <w:szCs w:val="20"/>
                <w:color w:val="auto"/>
              </w:rPr>
            </w:pPr>
            <w:r>
              <w:rPr>
                <w:rFonts w:ascii="Arial" w:cs="Arial" w:eastAsia="Arial" w:hAnsi="Arial"/>
                <w:sz w:val="15"/>
                <w:szCs w:val="15"/>
                <w:color w:val="auto"/>
              </w:rPr>
              <w:t>101.INS</w:t>
            </w:r>
          </w:p>
        </w:tc>
        <w:tc>
          <w:tcPr>
            <w:tcW w:w="7400" w:type="dxa"/>
            <w:vAlign w:val="bottom"/>
            <w:tcBorders>
              <w:top w:val="single" w:sz="8" w:color="0000EE"/>
            </w:tcBorders>
            <w:gridSpan w:val="7"/>
          </w:tcPr>
          <w:p>
            <w:pPr>
              <w:spacing w:after="0"/>
              <w:rPr>
                <w:sz w:val="20"/>
                <w:szCs w:val="20"/>
                <w:color w:val="auto"/>
              </w:rPr>
            </w:pPr>
            <w:r>
              <w:rPr>
                <w:rFonts w:ascii="Arial" w:cs="Arial" w:eastAsia="Arial" w:hAnsi="Arial"/>
                <w:sz w:val="15"/>
                <w:szCs w:val="15"/>
                <w:color w:val="auto"/>
              </w:rPr>
              <w:t>XBRL Instance Document</w:t>
            </w:r>
          </w:p>
        </w:tc>
        <w:tc>
          <w:tcPr>
            <w:tcW w:w="940" w:type="dxa"/>
            <w:vAlign w:val="bottom"/>
            <w:gridSpan w:val="2"/>
          </w:tcPr>
          <w:p>
            <w:pPr>
              <w:spacing w:after="0"/>
              <w:rPr>
                <w:sz w:val="24"/>
                <w:szCs w:val="24"/>
                <w:color w:val="auto"/>
              </w:rPr>
            </w:pPr>
          </w:p>
        </w:tc>
      </w:tr>
      <w:tr>
        <w:trPr>
          <w:trHeight w:val="274"/>
        </w:trPr>
        <w:tc>
          <w:tcPr>
            <w:tcW w:w="1140" w:type="dxa"/>
            <w:vAlign w:val="bottom"/>
          </w:tcPr>
          <w:p>
            <w:pPr>
              <w:spacing w:after="0"/>
              <w:rPr>
                <w:sz w:val="20"/>
                <w:szCs w:val="20"/>
                <w:color w:val="auto"/>
              </w:rPr>
            </w:pPr>
            <w:r>
              <w:rPr>
                <w:rFonts w:ascii="Arial" w:cs="Arial" w:eastAsia="Arial" w:hAnsi="Arial"/>
                <w:sz w:val="15"/>
                <w:szCs w:val="15"/>
                <w:color w:val="auto"/>
              </w:rPr>
              <w:t>101.SCH</w:t>
            </w:r>
          </w:p>
        </w:tc>
        <w:tc>
          <w:tcPr>
            <w:tcW w:w="8340" w:type="dxa"/>
            <w:vAlign w:val="bottom"/>
            <w:gridSpan w:val="9"/>
          </w:tcPr>
          <w:p>
            <w:pPr>
              <w:spacing w:after="0"/>
              <w:rPr>
                <w:sz w:val="20"/>
                <w:szCs w:val="20"/>
                <w:color w:val="auto"/>
              </w:rPr>
            </w:pPr>
            <w:r>
              <w:rPr>
                <w:rFonts w:ascii="Arial" w:cs="Arial" w:eastAsia="Arial" w:hAnsi="Arial"/>
                <w:sz w:val="15"/>
                <w:szCs w:val="15"/>
                <w:color w:val="auto"/>
              </w:rPr>
              <w:t>XBRL Taxonomy Extension Schema Document</w:t>
            </w:r>
          </w:p>
        </w:tc>
      </w:tr>
      <w:tr>
        <w:trPr>
          <w:trHeight w:val="274"/>
        </w:trPr>
        <w:tc>
          <w:tcPr>
            <w:tcW w:w="1140" w:type="dxa"/>
            <w:vAlign w:val="bottom"/>
          </w:tcPr>
          <w:p>
            <w:pPr>
              <w:spacing w:after="0"/>
              <w:rPr>
                <w:sz w:val="20"/>
                <w:szCs w:val="20"/>
                <w:color w:val="auto"/>
              </w:rPr>
            </w:pPr>
            <w:r>
              <w:rPr>
                <w:rFonts w:ascii="Arial" w:cs="Arial" w:eastAsia="Arial" w:hAnsi="Arial"/>
                <w:sz w:val="15"/>
                <w:szCs w:val="15"/>
                <w:color w:val="auto"/>
              </w:rPr>
              <w:t>101.CAL</w:t>
            </w:r>
          </w:p>
        </w:tc>
        <w:tc>
          <w:tcPr>
            <w:tcW w:w="8340" w:type="dxa"/>
            <w:vAlign w:val="bottom"/>
            <w:gridSpan w:val="9"/>
          </w:tcPr>
          <w:p>
            <w:pPr>
              <w:spacing w:after="0"/>
              <w:rPr>
                <w:sz w:val="20"/>
                <w:szCs w:val="20"/>
                <w:color w:val="auto"/>
              </w:rPr>
            </w:pPr>
            <w:r>
              <w:rPr>
                <w:rFonts w:ascii="Arial" w:cs="Arial" w:eastAsia="Arial" w:hAnsi="Arial"/>
                <w:sz w:val="15"/>
                <w:szCs w:val="15"/>
                <w:color w:val="auto"/>
              </w:rPr>
              <w:t>XBRL Taxonomy Extension Calculation Linkbase Document</w:t>
            </w:r>
          </w:p>
        </w:tc>
      </w:tr>
      <w:tr>
        <w:trPr>
          <w:trHeight w:val="274"/>
        </w:trPr>
        <w:tc>
          <w:tcPr>
            <w:tcW w:w="1140" w:type="dxa"/>
            <w:vAlign w:val="bottom"/>
          </w:tcPr>
          <w:p>
            <w:pPr>
              <w:spacing w:after="0"/>
              <w:rPr>
                <w:sz w:val="20"/>
                <w:szCs w:val="20"/>
                <w:color w:val="auto"/>
              </w:rPr>
            </w:pPr>
            <w:r>
              <w:rPr>
                <w:rFonts w:ascii="Arial" w:cs="Arial" w:eastAsia="Arial" w:hAnsi="Arial"/>
                <w:sz w:val="15"/>
                <w:szCs w:val="15"/>
                <w:color w:val="auto"/>
              </w:rPr>
              <w:t>101.DEF</w:t>
            </w:r>
          </w:p>
        </w:tc>
        <w:tc>
          <w:tcPr>
            <w:tcW w:w="8340" w:type="dxa"/>
            <w:vAlign w:val="bottom"/>
            <w:gridSpan w:val="9"/>
          </w:tcPr>
          <w:p>
            <w:pPr>
              <w:spacing w:after="0"/>
              <w:rPr>
                <w:sz w:val="20"/>
                <w:szCs w:val="20"/>
                <w:color w:val="auto"/>
              </w:rPr>
            </w:pPr>
            <w:r>
              <w:rPr>
                <w:rFonts w:ascii="Arial" w:cs="Arial" w:eastAsia="Arial" w:hAnsi="Arial"/>
                <w:sz w:val="15"/>
                <w:szCs w:val="15"/>
                <w:color w:val="auto"/>
              </w:rPr>
              <w:t>XBRL Taxonomy Extension Definition Linkbase Document</w:t>
            </w:r>
          </w:p>
        </w:tc>
      </w:tr>
      <w:tr>
        <w:trPr>
          <w:trHeight w:val="274"/>
        </w:trPr>
        <w:tc>
          <w:tcPr>
            <w:tcW w:w="1140" w:type="dxa"/>
            <w:vAlign w:val="bottom"/>
          </w:tcPr>
          <w:p>
            <w:pPr>
              <w:spacing w:after="0"/>
              <w:rPr>
                <w:sz w:val="20"/>
                <w:szCs w:val="20"/>
                <w:color w:val="auto"/>
              </w:rPr>
            </w:pPr>
            <w:r>
              <w:rPr>
                <w:rFonts w:ascii="Arial" w:cs="Arial" w:eastAsia="Arial" w:hAnsi="Arial"/>
                <w:sz w:val="15"/>
                <w:szCs w:val="15"/>
                <w:color w:val="auto"/>
              </w:rPr>
              <w:t>101.LAB</w:t>
            </w:r>
          </w:p>
        </w:tc>
        <w:tc>
          <w:tcPr>
            <w:tcW w:w="8340" w:type="dxa"/>
            <w:vAlign w:val="bottom"/>
            <w:gridSpan w:val="9"/>
          </w:tcPr>
          <w:p>
            <w:pPr>
              <w:spacing w:after="0"/>
              <w:rPr>
                <w:sz w:val="20"/>
                <w:szCs w:val="20"/>
                <w:color w:val="auto"/>
              </w:rPr>
            </w:pPr>
            <w:r>
              <w:rPr>
                <w:rFonts w:ascii="Arial" w:cs="Arial" w:eastAsia="Arial" w:hAnsi="Arial"/>
                <w:sz w:val="15"/>
                <w:szCs w:val="15"/>
                <w:color w:val="auto"/>
              </w:rPr>
              <w:t>XBRL Taxonomy Extension Label Linkbase Document</w:t>
            </w:r>
          </w:p>
        </w:tc>
      </w:tr>
      <w:tr>
        <w:trPr>
          <w:trHeight w:val="274"/>
        </w:trPr>
        <w:tc>
          <w:tcPr>
            <w:tcW w:w="1140" w:type="dxa"/>
            <w:vAlign w:val="bottom"/>
          </w:tcPr>
          <w:p>
            <w:pPr>
              <w:spacing w:after="0"/>
              <w:rPr>
                <w:sz w:val="20"/>
                <w:szCs w:val="20"/>
                <w:color w:val="auto"/>
              </w:rPr>
            </w:pPr>
            <w:r>
              <w:rPr>
                <w:rFonts w:ascii="Arial" w:cs="Arial" w:eastAsia="Arial" w:hAnsi="Arial"/>
                <w:sz w:val="15"/>
                <w:szCs w:val="15"/>
                <w:color w:val="auto"/>
              </w:rPr>
              <w:t>101.PRE</w:t>
            </w:r>
          </w:p>
        </w:tc>
        <w:tc>
          <w:tcPr>
            <w:tcW w:w="8340" w:type="dxa"/>
            <w:vAlign w:val="bottom"/>
            <w:gridSpan w:val="9"/>
          </w:tcPr>
          <w:p>
            <w:pPr>
              <w:spacing w:after="0"/>
              <w:rPr>
                <w:sz w:val="20"/>
                <w:szCs w:val="20"/>
                <w:color w:val="auto"/>
              </w:rPr>
            </w:pPr>
            <w:r>
              <w:rPr>
                <w:rFonts w:ascii="Arial" w:cs="Arial" w:eastAsia="Arial" w:hAnsi="Arial"/>
                <w:sz w:val="15"/>
                <w:szCs w:val="15"/>
                <w:color w:val="auto"/>
              </w:rPr>
              <w:t>XBRL Taxonomy Extension Presentation Linkbase Document</w:t>
            </w:r>
          </w:p>
        </w:tc>
      </w:tr>
    </w:tbl>
    <w:p>
      <w:pPr>
        <w:spacing w:after="0" w:line="198"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Filed as Exhibit 3.1 to Registrant’s Form 10-K filed with the Securities and Exchange Commission on February 24, 2016 and incorporated herein by reference.</w:t>
      </w:r>
    </w:p>
    <w:p>
      <w:pPr>
        <w:spacing w:after="0" w:line="13" w:lineRule="exact"/>
        <w:rPr>
          <w:rFonts w:ascii="Arial" w:cs="Arial" w:eastAsia="Arial" w:hAnsi="Arial"/>
          <w:sz w:val="15"/>
          <w:szCs w:val="15"/>
          <w:color w:val="auto"/>
        </w:rPr>
      </w:pPr>
    </w:p>
    <w:p>
      <w:pPr>
        <w:ind w:left="520" w:hanging="512"/>
        <w:spacing w:after="0"/>
        <w:tabs>
          <w:tab w:leader="none" w:pos="5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Filed as Exhibit 3.1 to Registrant’s Form 8-K filed with the Securities and Exchange Commission on April 25, 2018 and incorporated herein by reference.</w:t>
      </w:r>
    </w:p>
    <w:p>
      <w:pPr>
        <w:spacing w:after="0" w:line="3" w:lineRule="exact"/>
        <w:rPr>
          <w:rFonts w:ascii="Arial" w:cs="Arial" w:eastAsia="Arial" w:hAnsi="Arial"/>
          <w:sz w:val="15"/>
          <w:szCs w:val="15"/>
          <w:color w:val="auto"/>
        </w:rPr>
      </w:pPr>
    </w:p>
    <w:p>
      <w:pPr>
        <w:ind w:left="520" w:right="580" w:hanging="512"/>
        <w:spacing w:after="0" w:line="244" w:lineRule="auto"/>
        <w:tabs>
          <w:tab w:leader="none" w:pos="5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Filed as Exhibit 4.1 to Amendment No. 1 to Registrant’s Registration Statement on Form S-1 filed with the Securities and Exchange Commission on September 26, 2014, and incorporated herein by reference.</w:t>
      </w:r>
    </w:p>
    <w:p>
      <w:pPr>
        <w:ind w:left="520" w:hanging="512"/>
        <w:spacing w:after="0"/>
        <w:tabs>
          <w:tab w:leader="none" w:pos="5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Filed herewith.</w:t>
      </w:r>
    </w:p>
    <w:p>
      <w:pPr>
        <w:spacing w:after="0" w:line="168" w:lineRule="exact"/>
        <w:rPr>
          <w:sz w:val="20"/>
          <w:szCs w:val="20"/>
          <w:color w:val="auto"/>
        </w:rPr>
      </w:pPr>
    </w:p>
    <w:p>
      <w:pPr>
        <w:ind w:left="520" w:hanging="512"/>
        <w:spacing w:after="0" w:line="250" w:lineRule="auto"/>
        <w:tabs>
          <w:tab w:leader="none" w:pos="5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1390" cy="393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300"/>
          </w:cols>
          <w:pgMar w:left="220" w:top="300" w:right="379" w:bottom="1440" w:gutter="0" w:footer="0" w:header="0"/>
        </w:sectPr>
      </w:pPr>
    </w:p>
    <w:bookmarkStart w:id="51" w:name="page52"/>
    <w:bookmarkEnd w:id="51"/>
    <w:p>
      <w:pPr>
        <w:jc w:val="center"/>
        <w:spacing w:after="0"/>
        <w:rPr>
          <w:sz w:val="20"/>
          <w:szCs w:val="20"/>
          <w:color w:val="auto"/>
        </w:rPr>
      </w:pPr>
      <w:r>
        <w:rPr>
          <w:rFonts w:ascii="Arial" w:cs="Arial" w:eastAsia="Arial" w:hAnsi="Arial"/>
          <w:sz w:val="15"/>
          <w:szCs w:val="15"/>
          <w:b w:val="1"/>
          <w:bCs w:val="1"/>
          <w:color w:val="auto"/>
        </w:rPr>
        <w:t>SIGNATURES</w:t>
      </w:r>
    </w:p>
    <w:p>
      <w:pPr>
        <w:spacing w:after="0" w:line="95" w:lineRule="exact"/>
        <w:rPr>
          <w:sz w:val="20"/>
          <w:szCs w:val="20"/>
          <w:color w:val="auto"/>
        </w:rPr>
      </w:pPr>
    </w:p>
    <w:p>
      <w:pPr>
        <w:jc w:val="center"/>
        <w:ind w:left="26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6880"/>
        <w:spacing w:after="0"/>
        <w:rPr>
          <w:sz w:val="20"/>
          <w:szCs w:val="20"/>
          <w:color w:val="auto"/>
        </w:rPr>
      </w:pPr>
      <w:r>
        <w:rPr>
          <w:rFonts w:ascii="Arial" w:cs="Arial" w:eastAsia="Arial" w:hAnsi="Arial"/>
          <w:sz w:val="15"/>
          <w:szCs w:val="15"/>
          <w:b w:val="1"/>
          <w:bCs w:val="1"/>
          <w:color w:val="auto"/>
        </w:rPr>
        <w:t>HUBSPOT, INC.</w:t>
      </w:r>
    </w:p>
    <w:p>
      <w:pPr>
        <w:spacing w:after="0" w:line="204" w:lineRule="exact"/>
        <w:rPr>
          <w:sz w:val="20"/>
          <w:szCs w:val="20"/>
          <w:color w:val="auto"/>
        </w:rPr>
      </w:pPr>
    </w:p>
    <w:tbl>
      <w:tblPr>
        <w:tblLayout w:type="fixed"/>
        <w:tblInd w:w="6880" w:type="dxa"/>
        <w:tblCellMar>
          <w:top w:w="0" w:type="dxa"/>
          <w:left w:w="0" w:type="dxa"/>
          <w:bottom w:w="0" w:type="dxa"/>
          <w:right w:w="0" w:type="dxa"/>
        </w:tblCellMar>
      </w:tblPr>
      <w:tr>
        <w:trPr>
          <w:trHeight w:val="186"/>
        </w:trPr>
        <w:tc>
          <w:tcPr>
            <w:tcW w:w="820" w:type="dxa"/>
            <w:vAlign w:val="bottom"/>
          </w:tcPr>
          <w:p>
            <w:pPr>
              <w:spacing w:after="0"/>
              <w:rPr>
                <w:sz w:val="20"/>
                <w:szCs w:val="20"/>
                <w:color w:val="auto"/>
              </w:rPr>
            </w:pPr>
            <w:r>
              <w:rPr>
                <w:rFonts w:ascii="Arial" w:cs="Arial" w:eastAsia="Arial" w:hAnsi="Arial"/>
                <w:sz w:val="15"/>
                <w:szCs w:val="15"/>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John Kinzer</w:t>
            </w:r>
          </w:p>
        </w:tc>
      </w:tr>
      <w:tr>
        <w:trPr>
          <w:trHeight w:val="156"/>
        </w:trPr>
        <w:tc>
          <w:tcPr>
            <w:tcW w:w="820" w:type="dxa"/>
            <w:vAlign w:val="bottom"/>
          </w:tcPr>
          <w:p>
            <w:pPr>
              <w:spacing w:after="0" w:line="156" w:lineRule="exact"/>
              <w:rPr>
                <w:sz w:val="20"/>
                <w:szCs w:val="20"/>
                <w:color w:val="auto"/>
              </w:rPr>
            </w:pPr>
            <w:r>
              <w:rPr>
                <w:rFonts w:ascii="Arial" w:cs="Arial" w:eastAsia="Arial" w:hAnsi="Arial"/>
                <w:sz w:val="15"/>
                <w:szCs w:val="15"/>
                <w:color w:val="auto"/>
              </w:rPr>
              <w:t>Name:</w:t>
            </w:r>
          </w:p>
        </w:tc>
        <w:tc>
          <w:tcPr>
            <w:tcW w:w="3760" w:type="dxa"/>
            <w:vAlign w:val="bottom"/>
          </w:tcPr>
          <w:p>
            <w:pPr>
              <w:spacing w:after="0" w:line="156" w:lineRule="exact"/>
              <w:rPr>
                <w:sz w:val="20"/>
                <w:szCs w:val="20"/>
                <w:color w:val="auto"/>
              </w:rPr>
            </w:pPr>
            <w:r>
              <w:rPr>
                <w:rFonts w:ascii="Arial" w:cs="Arial" w:eastAsia="Arial" w:hAnsi="Arial"/>
                <w:sz w:val="15"/>
                <w:szCs w:val="15"/>
                <w:color w:val="auto"/>
              </w:rPr>
              <w:t>John Kinzer</w:t>
            </w:r>
          </w:p>
        </w:tc>
      </w:tr>
      <w:tr>
        <w:trPr>
          <w:trHeight w:val="176"/>
        </w:trPr>
        <w:tc>
          <w:tcPr>
            <w:tcW w:w="820" w:type="dxa"/>
            <w:vAlign w:val="bottom"/>
          </w:tcPr>
          <w:p>
            <w:pPr>
              <w:spacing w:after="0"/>
              <w:rPr>
                <w:sz w:val="20"/>
                <w:szCs w:val="20"/>
                <w:color w:val="auto"/>
              </w:rPr>
            </w:pPr>
            <w:r>
              <w:rPr>
                <w:rFonts w:ascii="Arial" w:cs="Arial" w:eastAsia="Arial" w:hAnsi="Arial"/>
                <w:sz w:val="15"/>
                <w:szCs w:val="15"/>
                <w:color w:val="auto"/>
              </w:rPr>
              <w:t>Title:</w:t>
            </w:r>
          </w:p>
        </w:tc>
        <w:tc>
          <w:tcPr>
            <w:tcW w:w="3760" w:type="dxa"/>
            <w:vAlign w:val="bottom"/>
          </w:tcPr>
          <w:p>
            <w:pPr>
              <w:spacing w:after="0"/>
              <w:rPr>
                <w:sz w:val="20"/>
                <w:szCs w:val="20"/>
                <w:color w:val="auto"/>
              </w:rPr>
            </w:pPr>
            <w:r>
              <w:rPr>
                <w:rFonts w:ascii="Arial" w:cs="Arial" w:eastAsia="Arial" w:hAnsi="Arial"/>
                <w:sz w:val="15"/>
                <w:szCs w:val="15"/>
                <w:color w:val="auto"/>
              </w:rPr>
              <w:t>Chief Financial Officer</w:t>
            </w:r>
          </w:p>
        </w:tc>
      </w:tr>
      <w:tr>
        <w:trPr>
          <w:trHeight w:val="176"/>
        </w:trPr>
        <w:tc>
          <w:tcPr>
            <w:tcW w:w="820" w:type="dxa"/>
            <w:vAlign w:val="bottom"/>
          </w:tcPr>
          <w:p>
            <w:pPr>
              <w:spacing w:after="0"/>
              <w:rPr>
                <w:sz w:val="15"/>
                <w:szCs w:val="15"/>
                <w:color w:val="auto"/>
              </w:rPr>
            </w:pPr>
          </w:p>
        </w:tc>
        <w:tc>
          <w:tcPr>
            <w:tcW w:w="3760" w:type="dxa"/>
            <w:vAlign w:val="bottom"/>
          </w:tcPr>
          <w:p>
            <w:pPr>
              <w:spacing w:after="0"/>
              <w:rPr>
                <w:sz w:val="20"/>
                <w:szCs w:val="20"/>
                <w:color w:val="auto"/>
              </w:rPr>
            </w:pPr>
            <w:r>
              <w:rPr>
                <w:rFonts w:ascii="Arial" w:cs="Arial" w:eastAsia="Arial" w:hAnsi="Arial"/>
                <w:sz w:val="15"/>
                <w:szCs w:val="15"/>
                <w:i w:val="1"/>
                <w:iCs w:val="1"/>
                <w:color w:val="auto"/>
              </w:rPr>
              <w:t>(Principal Financial and Accounting</w:t>
            </w:r>
          </w:p>
        </w:tc>
      </w:tr>
      <w:tr>
        <w:trPr>
          <w:trHeight w:val="186"/>
        </w:trPr>
        <w:tc>
          <w:tcPr>
            <w:tcW w:w="820" w:type="dxa"/>
            <w:vAlign w:val="bottom"/>
          </w:tcPr>
          <w:p>
            <w:pPr>
              <w:spacing w:after="0"/>
              <w:rPr>
                <w:sz w:val="16"/>
                <w:szCs w:val="16"/>
                <w:color w:val="auto"/>
              </w:rPr>
            </w:pPr>
          </w:p>
        </w:tc>
        <w:tc>
          <w:tcPr>
            <w:tcW w:w="3760" w:type="dxa"/>
            <w:vAlign w:val="bottom"/>
          </w:tcPr>
          <w:p>
            <w:pPr>
              <w:spacing w:after="0"/>
              <w:rPr>
                <w:sz w:val="20"/>
                <w:szCs w:val="20"/>
                <w:color w:val="auto"/>
              </w:rPr>
            </w:pPr>
            <w:r>
              <w:rPr>
                <w:rFonts w:ascii="Arial" w:cs="Arial" w:eastAsia="Arial" w:hAnsi="Arial"/>
                <w:sz w:val="15"/>
                <w:szCs w:val="15"/>
                <w:i w:val="1"/>
                <w:iCs w:val="1"/>
                <w:color w:val="auto"/>
              </w:rPr>
              <w:t>Officer and Authorized Signatory)</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May 10, 2018</w:t>
      </w:r>
    </w:p>
    <w:p>
      <w:pPr>
        <w:sectPr>
          <w:pgSz w:w="11900" w:h="16838" w:orient="portrait"/>
          <w:cols w:equalWidth="0" w:num="1">
            <w:col w:w="11460"/>
          </w:cols>
          <w:pgMar w:left="220" w:top="300" w:right="21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LEASE</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SECOND AMENDMENT TO LEASE</w:t>
      </w:r>
      <w:r>
        <w:rPr>
          <w:rFonts w:ascii="Arial" w:cs="Arial" w:eastAsia="Arial" w:hAnsi="Arial"/>
          <w:sz w:val="18"/>
          <w:szCs w:val="18"/>
          <w:color w:val="auto"/>
        </w:rPr>
        <w:t xml:space="preserve"> (the “</w:t>
      </w:r>
      <w:r>
        <w:rPr>
          <w:rFonts w:ascii="Arial" w:cs="Arial" w:eastAsia="Arial" w:hAnsi="Arial"/>
          <w:sz w:val="18"/>
          <w:szCs w:val="18"/>
          <w:b w:val="1"/>
          <w:bCs w:val="1"/>
          <w:color w:val="auto"/>
        </w:rPr>
        <w:t>Second Amendment</w:t>
      </w:r>
      <w:r>
        <w:rPr>
          <w:rFonts w:ascii="Arial" w:cs="Arial" w:eastAsia="Arial" w:hAnsi="Arial"/>
          <w:sz w:val="18"/>
          <w:szCs w:val="18"/>
          <w:color w:val="auto"/>
        </w:rPr>
        <w:t xml:space="preserve">”) dated this </w:t>
      </w:r>
      <w:r>
        <w:rPr>
          <w:rFonts w:ascii="Arial" w:cs="Arial" w:eastAsia="Arial" w:hAnsi="Arial"/>
          <w:sz w:val="22"/>
          <w:szCs w:val="22"/>
          <w:color w:val="auto"/>
        </w:rPr>
        <w:t>12th</w:t>
      </w:r>
      <w:r>
        <w:rPr>
          <w:rFonts w:ascii="Arial" w:cs="Arial" w:eastAsia="Arial" w:hAnsi="Arial"/>
          <w:sz w:val="18"/>
          <w:szCs w:val="18"/>
          <w:color w:val="auto"/>
        </w:rPr>
        <w:t xml:space="preserve"> day of March, 2018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is made by and between </w:t>
      </w:r>
      <w:r>
        <w:rPr>
          <w:rFonts w:ascii="Arial" w:cs="Arial" w:eastAsia="Arial" w:hAnsi="Arial"/>
          <w:sz w:val="18"/>
          <w:szCs w:val="18"/>
          <w:b w:val="1"/>
          <w:bCs w:val="1"/>
          <w:color w:val="auto"/>
        </w:rPr>
        <w:t>ONE CANAL PARK MASSACHUSETTS</w:t>
      </w:r>
      <w:r>
        <w:rPr>
          <w:rFonts w:ascii="Arial" w:cs="Arial" w:eastAsia="Arial" w:hAnsi="Arial"/>
          <w:sz w:val="18"/>
          <w:szCs w:val="18"/>
          <w:color w:val="auto"/>
        </w:rPr>
        <w:t>,</w:t>
      </w:r>
      <w:r>
        <w:rPr>
          <w:rFonts w:ascii="Arial" w:cs="Arial" w:eastAsia="Arial" w:hAnsi="Arial"/>
          <w:sz w:val="18"/>
          <w:szCs w:val="18"/>
          <w:b w:val="1"/>
          <w:bCs w:val="1"/>
          <w:color w:val="auto"/>
        </w:rPr>
        <w:t xml:space="preserve">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HUBSPOT, INC.</w:t>
      </w:r>
      <w:r>
        <w:rPr>
          <w:rFonts w:ascii="Arial" w:cs="Arial" w:eastAsia="Arial" w:hAnsi="Arial"/>
          <w:sz w:val="18"/>
          <w:szCs w:val="18"/>
          <w:color w:val="auto"/>
        </w:rPr>
        <w:t>, 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72" w:lineRule="exact"/>
        <w:rPr>
          <w:sz w:val="20"/>
          <w:szCs w:val="20"/>
          <w:color w:val="auto"/>
        </w:rPr>
      </w:pPr>
    </w:p>
    <w:p>
      <w:pPr>
        <w:jc w:val="both"/>
        <w:ind w:firstLine="8"/>
        <w:spacing w:after="0" w:line="267" w:lineRule="auto"/>
        <w:tabs>
          <w:tab w:leader="none" w:pos="697" w:val="left"/>
        </w:tabs>
        <w:numPr>
          <w:ilvl w:val="0"/>
          <w:numId w:val="21"/>
        </w:numPr>
        <w:rPr>
          <w:rFonts w:ascii="Arial" w:cs="Arial" w:eastAsia="Arial" w:hAnsi="Arial"/>
          <w:sz w:val="16"/>
          <w:szCs w:val="16"/>
          <w:color w:val="auto"/>
        </w:rPr>
      </w:pPr>
      <w:r>
        <w:rPr>
          <w:rFonts w:ascii="Arial" w:cs="Arial" w:eastAsia="Arial" w:hAnsi="Arial"/>
          <w:sz w:val="16"/>
          <w:szCs w:val="16"/>
          <w:color w:val="auto"/>
        </w:rPr>
        <w:t>WHEREAS, Landlord and Tenant entered into that certain Lease dated October 7, 2016, as amended by that certain First Amendment to Lease dated February 14, 2017 (collectively, the “</w:t>
      </w:r>
      <w:r>
        <w:rPr>
          <w:rFonts w:ascii="Arial" w:cs="Arial" w:eastAsia="Arial" w:hAnsi="Arial"/>
          <w:sz w:val="16"/>
          <w:szCs w:val="16"/>
          <w:b w:val="1"/>
          <w:bCs w:val="1"/>
          <w:color w:val="auto"/>
        </w:rPr>
        <w:t>Lease</w:t>
      </w:r>
      <w:r>
        <w:rPr>
          <w:rFonts w:ascii="Arial" w:cs="Arial" w:eastAsia="Arial" w:hAnsi="Arial"/>
          <w:sz w:val="16"/>
          <w:szCs w:val="16"/>
          <w:color w:val="auto"/>
        </w:rPr>
        <w:t>”) whereby Tenant leases from Landlord certain premises consisting of approximately 55,386 rentable square feet, comprised of: (i) 16,750 rentable square feet on the second (2</w:t>
      </w:r>
      <w:r>
        <w:rPr>
          <w:rFonts w:ascii="Arial" w:cs="Arial" w:eastAsia="Arial" w:hAnsi="Arial"/>
          <w:sz w:val="13"/>
          <w:szCs w:val="13"/>
          <w:color w:val="auto"/>
        </w:rPr>
        <w:t>nd</w:t>
      </w:r>
      <w:r>
        <w:rPr>
          <w:rFonts w:ascii="Arial" w:cs="Arial" w:eastAsia="Arial" w:hAnsi="Arial"/>
          <w:sz w:val="16"/>
          <w:szCs w:val="16"/>
          <w:color w:val="auto"/>
        </w:rPr>
        <w:t>) floor (“</w:t>
      </w:r>
      <w:r>
        <w:rPr>
          <w:rFonts w:ascii="Arial" w:cs="Arial" w:eastAsia="Arial" w:hAnsi="Arial"/>
          <w:sz w:val="16"/>
          <w:szCs w:val="16"/>
          <w:b w:val="1"/>
          <w:bCs w:val="1"/>
          <w:color w:val="auto"/>
        </w:rPr>
        <w:t>Premises A</w:t>
      </w:r>
      <w:r>
        <w:rPr>
          <w:rFonts w:ascii="Arial" w:cs="Arial" w:eastAsia="Arial" w:hAnsi="Arial"/>
          <w:sz w:val="16"/>
          <w:szCs w:val="16"/>
          <w:color w:val="auto"/>
        </w:rPr>
        <w:t>”); (ii) approximately 8,562 rentable square feet on the second (2</w:t>
      </w:r>
      <w:r>
        <w:rPr>
          <w:rFonts w:ascii="Arial" w:cs="Arial" w:eastAsia="Arial" w:hAnsi="Arial"/>
          <w:sz w:val="13"/>
          <w:szCs w:val="13"/>
          <w:color w:val="auto"/>
        </w:rPr>
        <w:t>nd</w:t>
      </w:r>
      <w:r>
        <w:rPr>
          <w:rFonts w:ascii="Arial" w:cs="Arial" w:eastAsia="Arial" w:hAnsi="Arial"/>
          <w:sz w:val="16"/>
          <w:szCs w:val="16"/>
          <w:color w:val="auto"/>
        </w:rPr>
        <w:t>) floor (“</w:t>
      </w:r>
      <w:r>
        <w:rPr>
          <w:rFonts w:ascii="Arial" w:cs="Arial" w:eastAsia="Arial" w:hAnsi="Arial"/>
          <w:sz w:val="16"/>
          <w:szCs w:val="16"/>
          <w:b w:val="1"/>
          <w:bCs w:val="1"/>
          <w:color w:val="auto"/>
        </w:rPr>
        <w:t>Premises B</w:t>
      </w:r>
      <w:r>
        <w:rPr>
          <w:rFonts w:ascii="Arial" w:cs="Arial" w:eastAsia="Arial" w:hAnsi="Arial"/>
          <w:sz w:val="16"/>
          <w:szCs w:val="16"/>
          <w:color w:val="auto"/>
        </w:rPr>
        <w:t>”); (iii) approximately 9,022 rentable square feet on fourth (4th) floor of the Building (“</w:t>
      </w:r>
      <w:r>
        <w:rPr>
          <w:rFonts w:ascii="Arial" w:cs="Arial" w:eastAsia="Arial" w:hAnsi="Arial"/>
          <w:sz w:val="16"/>
          <w:szCs w:val="16"/>
          <w:b w:val="1"/>
          <w:bCs w:val="1"/>
          <w:color w:val="auto"/>
        </w:rPr>
        <w:t>Premises C</w:t>
      </w:r>
      <w:r>
        <w:rPr>
          <w:rFonts w:ascii="Arial" w:cs="Arial" w:eastAsia="Arial" w:hAnsi="Arial"/>
          <w:sz w:val="16"/>
          <w:szCs w:val="16"/>
          <w:color w:val="auto"/>
        </w:rPr>
        <w:t>”); and (iv) approximately 21,052 rentable square feet on the fourth (4</w:t>
      </w:r>
      <w:r>
        <w:rPr>
          <w:rFonts w:ascii="Arial" w:cs="Arial" w:eastAsia="Arial" w:hAnsi="Arial"/>
          <w:sz w:val="13"/>
          <w:szCs w:val="13"/>
          <w:color w:val="auto"/>
        </w:rPr>
        <w:t>th</w:t>
      </w:r>
      <w:r>
        <w:rPr>
          <w:rFonts w:ascii="Arial" w:cs="Arial" w:eastAsia="Arial" w:hAnsi="Arial"/>
          <w:sz w:val="16"/>
          <w:szCs w:val="16"/>
          <w:color w:val="auto"/>
        </w:rPr>
        <w:t>) floor of the Building (“</w:t>
      </w:r>
      <w:r>
        <w:rPr>
          <w:rFonts w:ascii="Arial" w:cs="Arial" w:eastAsia="Arial" w:hAnsi="Arial"/>
          <w:sz w:val="16"/>
          <w:szCs w:val="16"/>
          <w:b w:val="1"/>
          <w:bCs w:val="1"/>
          <w:color w:val="auto"/>
        </w:rPr>
        <w:t>Premises D</w:t>
      </w:r>
      <w:r>
        <w:rPr>
          <w:rFonts w:ascii="Arial" w:cs="Arial" w:eastAsia="Arial" w:hAnsi="Arial"/>
          <w:sz w:val="16"/>
          <w:szCs w:val="16"/>
          <w:color w:val="auto"/>
        </w:rPr>
        <w:t>”) (collectively, Premises A, Premises B, Premises C and Premises D shall be known as the “</w:t>
      </w:r>
      <w:r>
        <w:rPr>
          <w:rFonts w:ascii="Arial" w:cs="Arial" w:eastAsia="Arial" w:hAnsi="Arial"/>
          <w:sz w:val="16"/>
          <w:szCs w:val="16"/>
          <w:b w:val="1"/>
          <w:bCs w:val="1"/>
          <w:color w:val="auto"/>
        </w:rPr>
        <w:t>Existing</w:t>
      </w:r>
      <w:r>
        <w:rPr>
          <w:rFonts w:ascii="Arial" w:cs="Arial" w:eastAsia="Arial" w:hAnsi="Arial"/>
          <w:sz w:val="16"/>
          <w:szCs w:val="16"/>
          <w:color w:val="auto"/>
        </w:rPr>
        <w:t xml:space="preserve"> </w:t>
      </w:r>
      <w:r>
        <w:rPr>
          <w:rFonts w:ascii="Arial" w:cs="Arial" w:eastAsia="Arial" w:hAnsi="Arial"/>
          <w:sz w:val="16"/>
          <w:szCs w:val="16"/>
          <w:b w:val="1"/>
          <w:bCs w:val="1"/>
          <w:color w:val="auto"/>
        </w:rPr>
        <w:t>Premises</w:t>
      </w:r>
      <w:r>
        <w:rPr>
          <w:rFonts w:ascii="Arial" w:cs="Arial" w:eastAsia="Arial" w:hAnsi="Arial"/>
          <w:sz w:val="16"/>
          <w:szCs w:val="16"/>
          <w:color w:val="auto"/>
        </w:rPr>
        <w:t>”) in the building located at One Canal Park, Cambridge, Massachusetts (the “</w:t>
      </w:r>
      <w:r>
        <w:rPr>
          <w:rFonts w:ascii="Arial" w:cs="Arial" w:eastAsia="Arial" w:hAnsi="Arial"/>
          <w:sz w:val="16"/>
          <w:szCs w:val="16"/>
          <w:b w:val="1"/>
          <w:bCs w:val="1"/>
          <w:color w:val="auto"/>
        </w:rPr>
        <w:t>Building</w:t>
      </w:r>
      <w:r>
        <w:rPr>
          <w:rFonts w:ascii="Arial" w:cs="Arial" w:eastAsia="Arial" w:hAnsi="Arial"/>
          <w:sz w:val="16"/>
          <w:szCs w:val="16"/>
          <w:color w:val="auto"/>
        </w:rPr>
        <w:t>”);</w:t>
      </w:r>
    </w:p>
    <w:p>
      <w:pPr>
        <w:spacing w:after="0" w:line="126" w:lineRule="exact"/>
        <w:rPr>
          <w:rFonts w:ascii="Arial" w:cs="Arial" w:eastAsia="Arial" w:hAnsi="Arial"/>
          <w:sz w:val="16"/>
          <w:szCs w:val="16"/>
          <w:color w:val="auto"/>
        </w:rPr>
      </w:pPr>
    </w:p>
    <w:p>
      <w:pPr>
        <w:ind w:left="700" w:hanging="692"/>
        <w:spacing w:after="0"/>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WHEREAS, the Expiration Date with respect to the Existing Premises is scheduled to expire on January 31, 2026 (the “</w:t>
      </w:r>
      <w:r>
        <w:rPr>
          <w:rFonts w:ascii="Arial" w:cs="Arial" w:eastAsia="Arial" w:hAnsi="Arial"/>
          <w:sz w:val="16"/>
          <w:szCs w:val="16"/>
          <w:b w:val="1"/>
          <w:bCs w:val="1"/>
          <w:color w:val="auto"/>
        </w:rPr>
        <w:t>Expiration Date</w:t>
      </w:r>
      <w:r>
        <w:rPr>
          <w:rFonts w:ascii="Arial" w:cs="Arial" w:eastAsia="Arial" w:hAnsi="Arial"/>
          <w:sz w:val="16"/>
          <w:szCs w:val="16"/>
          <w:color w:val="auto"/>
        </w:rPr>
        <w:t>”);</w:t>
      </w:r>
    </w:p>
    <w:p>
      <w:pPr>
        <w:spacing w:after="0" w:line="194" w:lineRule="exact"/>
        <w:rPr>
          <w:rFonts w:ascii="Arial" w:cs="Arial" w:eastAsia="Arial" w:hAnsi="Arial"/>
          <w:sz w:val="16"/>
          <w:szCs w:val="16"/>
          <w:color w:val="auto"/>
        </w:rPr>
      </w:pPr>
    </w:p>
    <w:p>
      <w:pPr>
        <w:jc w:val="both"/>
        <w:ind w:firstLine="8"/>
        <w:spacing w:after="0" w:line="238" w:lineRule="auto"/>
        <w:tabs>
          <w:tab w:leader="none" w:pos="687"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WHEREAS, Landlord has agreed and Tenant desires to lease additional space consisting of approximately 10,109 rentable square feet on the first (1</w:t>
      </w:r>
      <w:r>
        <w:rPr>
          <w:rFonts w:ascii="Arial" w:cs="Arial" w:eastAsia="Arial" w:hAnsi="Arial"/>
          <w:sz w:val="14"/>
          <w:szCs w:val="14"/>
          <w:color w:val="auto"/>
        </w:rPr>
        <w:t>st</w:t>
      </w:r>
      <w:r>
        <w:rPr>
          <w:rFonts w:ascii="Arial" w:cs="Arial" w:eastAsia="Arial" w:hAnsi="Arial"/>
          <w:sz w:val="18"/>
          <w:szCs w:val="18"/>
          <w:color w:val="auto"/>
        </w:rPr>
        <w:t>) floor of the Building (“</w:t>
      </w:r>
      <w:r>
        <w:rPr>
          <w:rFonts w:ascii="Arial" w:cs="Arial" w:eastAsia="Arial" w:hAnsi="Arial"/>
          <w:sz w:val="18"/>
          <w:szCs w:val="18"/>
          <w:b w:val="1"/>
          <w:bCs w:val="1"/>
          <w:color w:val="auto"/>
        </w:rPr>
        <w:t>Premises E</w:t>
      </w:r>
      <w:r>
        <w:rPr>
          <w:rFonts w:ascii="Arial" w:cs="Arial" w:eastAsia="Arial" w:hAnsi="Arial"/>
          <w:sz w:val="18"/>
          <w:szCs w:val="18"/>
          <w:color w:val="auto"/>
        </w:rPr>
        <w:t xml:space="preserve">”) as substantially shown on the floor plan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subject to the terms and conditions set forth herein; and</w:t>
      </w:r>
    </w:p>
    <w:p>
      <w:pPr>
        <w:spacing w:after="0" w:line="152" w:lineRule="exact"/>
        <w:rPr>
          <w:rFonts w:ascii="Arial" w:cs="Arial" w:eastAsia="Arial" w:hAnsi="Arial"/>
          <w:sz w:val="18"/>
          <w:szCs w:val="18"/>
          <w:color w:val="auto"/>
        </w:rPr>
      </w:pPr>
    </w:p>
    <w:p>
      <w:pPr>
        <w:ind w:firstLine="8"/>
        <w:spacing w:after="0" w:line="246" w:lineRule="auto"/>
        <w:tabs>
          <w:tab w:leader="none" w:pos="697"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WHEREAS, The parties desire to extend the Term of the Lease with respect to the Existing Premises to be coterminous with the Term of the Lease with respect to Premises 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17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NOW THEREFORE, in consideration of the promises contained herein and other good and valuable consideration, the receipt of which is hereby acknowledged, the parties agree as follows:</w:t>
      </w:r>
    </w:p>
    <w:p>
      <w:pPr>
        <w:spacing w:after="0" w:line="146"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 xml:space="preserve"> The recitals set forth above are incorporated herein and made a part of this Second Amendment as if set forth herein in full.</w:t>
      </w:r>
    </w:p>
    <w:p>
      <w:pPr>
        <w:spacing w:after="0" w:line="165" w:lineRule="exact"/>
        <w:rPr>
          <w:rFonts w:ascii="Arial" w:cs="Arial" w:eastAsia="Arial" w:hAnsi="Arial"/>
          <w:sz w:val="18"/>
          <w:szCs w:val="18"/>
          <w:color w:val="auto"/>
        </w:rPr>
      </w:pPr>
    </w:p>
    <w:p>
      <w:pPr>
        <w:jc w:val="both"/>
        <w:ind w:firstLine="8"/>
        <w:spacing w:after="0" w:line="238" w:lineRule="auto"/>
        <w:tabs>
          <w:tab w:leader="none" w:pos="658"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xml:space="preserve"> All capitalized terms used in this Second Amendment that are not defined in this Second Amendment shall have the meanings ascribed to such terms in the Lease. In the event of any conflict between the terms of the Lease and the terms of this Second Amendment, the definitions set forth in this Second Amendment shall control.</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311390" cy="393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53" w:name="page54"/>
    <w:bookmarkEnd w:id="53"/>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Term for Premises E</w:t>
      </w:r>
      <w:r>
        <w:rPr>
          <w:rFonts w:ascii="Arial" w:cs="Arial" w:eastAsia="Arial" w:hAnsi="Arial"/>
          <w:sz w:val="18"/>
          <w:szCs w:val="18"/>
          <w:color w:val="auto"/>
        </w:rPr>
        <w:t>.</w:t>
      </w:r>
    </w:p>
    <w:p>
      <w:pPr>
        <w:spacing w:after="0" w:line="166" w:lineRule="exact"/>
        <w:rPr>
          <w:sz w:val="20"/>
          <w:szCs w:val="20"/>
          <w:color w:val="auto"/>
        </w:rPr>
      </w:pPr>
    </w:p>
    <w:p>
      <w:pPr>
        <w:jc w:val="both"/>
        <w:ind w:right="20" w:firstLine="881"/>
        <w:spacing w:after="0" w:line="261" w:lineRule="auto"/>
        <w:rPr>
          <w:sz w:val="20"/>
          <w:szCs w:val="20"/>
          <w:color w:val="auto"/>
        </w:rPr>
      </w:pPr>
      <w:r>
        <w:rPr>
          <w:rFonts w:ascii="Arial" w:cs="Arial" w:eastAsia="Arial" w:hAnsi="Arial"/>
          <w:sz w:val="16"/>
          <w:szCs w:val="16"/>
          <w:color w:val="auto"/>
        </w:rPr>
        <w:t>3.1 Landlord demises to Tenant, and Tenant takes from Landlord, Premises E upon and subject to the provisions of the Lease, as amended by this Second Amendment. Subject to the terms and conditions set forth herein, the Term of the Lease with respect to Premises E (the “</w:t>
      </w:r>
      <w:r>
        <w:rPr>
          <w:rFonts w:ascii="Arial" w:cs="Arial" w:eastAsia="Arial" w:hAnsi="Arial"/>
          <w:sz w:val="16"/>
          <w:szCs w:val="16"/>
          <w:b w:val="1"/>
          <w:bCs w:val="1"/>
          <w:color w:val="auto"/>
        </w:rPr>
        <w:t>Premises E Term</w:t>
      </w:r>
      <w:r>
        <w:rPr>
          <w:rFonts w:ascii="Arial" w:cs="Arial" w:eastAsia="Arial" w:hAnsi="Arial"/>
          <w:sz w:val="16"/>
          <w:szCs w:val="16"/>
          <w:color w:val="auto"/>
        </w:rPr>
        <w:t>”) shall commence on the later date to occur of (the “</w:t>
      </w:r>
      <w:r>
        <w:rPr>
          <w:rFonts w:ascii="Arial" w:cs="Arial" w:eastAsia="Arial" w:hAnsi="Arial"/>
          <w:sz w:val="16"/>
          <w:szCs w:val="16"/>
          <w:b w:val="1"/>
          <w:bCs w:val="1"/>
          <w:color w:val="auto"/>
        </w:rPr>
        <w:t>Premises E Commencement Date</w:t>
      </w:r>
      <w:r>
        <w:rPr>
          <w:rFonts w:ascii="Arial" w:cs="Arial" w:eastAsia="Arial" w:hAnsi="Arial"/>
          <w:sz w:val="16"/>
          <w:szCs w:val="16"/>
          <w:color w:val="auto"/>
        </w:rPr>
        <w:t>”): (i) January 1, 2019, or (ii) date Landlord delivers possession of Premises E to Tenant vacant, broom clean, free of tenants, occupants, property and debris, in compliance with all applicable Laws and free of all Hazardous Materials that are required to be removed, remediated, or encapsulated pursuant to applicable Environmental Laws and shall expire on the last day of the full one hundred twentieth</w:t>
      </w:r>
    </w:p>
    <w:p>
      <w:pPr>
        <w:spacing w:after="0" w:line="1" w:lineRule="exact"/>
        <w:rPr>
          <w:sz w:val="20"/>
          <w:szCs w:val="20"/>
          <w:color w:val="auto"/>
        </w:rPr>
      </w:pPr>
    </w:p>
    <w:p>
      <w:pPr>
        <w:ind w:right="20" w:firstLine="8"/>
        <w:spacing w:after="0" w:line="235" w:lineRule="auto"/>
        <w:tabs>
          <w:tab w:leader="none" w:pos="439"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month following the Premises E Rent Commencement Date, as defined herein (the “</w:t>
      </w:r>
      <w:r>
        <w:rPr>
          <w:rFonts w:ascii="Arial" w:cs="Arial" w:eastAsia="Arial" w:hAnsi="Arial"/>
          <w:sz w:val="18"/>
          <w:szCs w:val="18"/>
          <w:b w:val="1"/>
          <w:bCs w:val="1"/>
          <w:color w:val="auto"/>
        </w:rPr>
        <w:t>Premises E Expiration Date</w:t>
      </w:r>
      <w:r>
        <w:rPr>
          <w:rFonts w:ascii="Arial" w:cs="Arial" w:eastAsia="Arial" w:hAnsi="Arial"/>
          <w:sz w:val="18"/>
          <w:szCs w:val="18"/>
          <w:color w:val="auto"/>
        </w:rPr>
        <w:t>”). In no event shall Landlord deliver Premises E to Tenant prior to January 1, 2019.</w:t>
      </w:r>
    </w:p>
    <w:p>
      <w:pPr>
        <w:spacing w:after="0" w:line="145" w:lineRule="exact"/>
        <w:rPr>
          <w:sz w:val="20"/>
          <w:szCs w:val="20"/>
          <w:color w:val="auto"/>
        </w:rPr>
      </w:pPr>
    </w:p>
    <w:p>
      <w:pPr>
        <w:jc w:val="both"/>
        <w:ind w:right="20" w:firstLine="881"/>
        <w:spacing w:after="0" w:line="276" w:lineRule="auto"/>
        <w:rPr>
          <w:sz w:val="20"/>
          <w:szCs w:val="20"/>
          <w:color w:val="auto"/>
        </w:rPr>
      </w:pPr>
      <w:r>
        <w:rPr>
          <w:rFonts w:ascii="Arial" w:cs="Arial" w:eastAsia="Arial" w:hAnsi="Arial"/>
          <w:sz w:val="16"/>
          <w:szCs w:val="16"/>
          <w:color w:val="auto"/>
        </w:rPr>
        <w:t>3.2 For purposes of this Second Amendment, the “</w:t>
      </w:r>
      <w:r>
        <w:rPr>
          <w:rFonts w:ascii="Arial" w:cs="Arial" w:eastAsia="Arial" w:hAnsi="Arial"/>
          <w:sz w:val="16"/>
          <w:szCs w:val="16"/>
          <w:b w:val="1"/>
          <w:bCs w:val="1"/>
          <w:color w:val="auto"/>
        </w:rPr>
        <w:t>Estimated Premises E Commencement Date</w:t>
      </w:r>
      <w:r>
        <w:rPr>
          <w:rFonts w:ascii="Arial" w:cs="Arial" w:eastAsia="Arial" w:hAnsi="Arial"/>
          <w:sz w:val="16"/>
          <w:szCs w:val="16"/>
          <w:color w:val="auto"/>
        </w:rPr>
        <w:t>” is January 1, 2019. From and after the Premises E Commencement Date, Premises E shall be deemed a “</w:t>
      </w:r>
      <w:r>
        <w:rPr>
          <w:rFonts w:ascii="Arial" w:cs="Arial" w:eastAsia="Arial" w:hAnsi="Arial"/>
          <w:sz w:val="16"/>
          <w:szCs w:val="16"/>
          <w:b w:val="1"/>
          <w:bCs w:val="1"/>
          <w:color w:val="auto"/>
        </w:rPr>
        <w:t>Portion of the Premises</w:t>
      </w:r>
      <w:r>
        <w:rPr>
          <w:rFonts w:ascii="Arial" w:cs="Arial" w:eastAsia="Arial" w:hAnsi="Arial"/>
          <w:sz w:val="16"/>
          <w:szCs w:val="16"/>
          <w:color w:val="auto"/>
        </w:rPr>
        <w:t>” under the Lease. Once the Premises E Commencement Date has occurred, Landlord and Tenant shall execute a commencement date agreement, in a form similar to that which is attached as Exhibit 5 to the Lease in order to confirm the Premises E Commencement Date, the Premises E Expiration Date and the schedule with respect to Yearly Rent for Premises E.</w:t>
      </w:r>
    </w:p>
    <w:p>
      <w:pPr>
        <w:spacing w:after="0" w:line="119" w:lineRule="exact"/>
        <w:rPr>
          <w:sz w:val="20"/>
          <w:szCs w:val="20"/>
          <w:color w:val="auto"/>
        </w:rPr>
      </w:pPr>
    </w:p>
    <w:p>
      <w:pPr>
        <w:ind w:right="20" w:firstLine="8"/>
        <w:spacing w:after="0" w:line="253" w:lineRule="auto"/>
        <w:tabs>
          <w:tab w:leader="none" w:pos="658"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Premises E Rent Commencement Date.</w:t>
      </w:r>
      <w:r>
        <w:rPr>
          <w:rFonts w:ascii="Arial" w:cs="Arial" w:eastAsia="Arial" w:hAnsi="Arial"/>
          <w:sz w:val="18"/>
          <w:szCs w:val="18"/>
          <w:color w:val="auto"/>
        </w:rPr>
        <w:t xml:space="preserve"> The “</w:t>
      </w:r>
      <w:r>
        <w:rPr>
          <w:rFonts w:ascii="Arial" w:cs="Arial" w:eastAsia="Arial" w:hAnsi="Arial"/>
          <w:sz w:val="18"/>
          <w:szCs w:val="18"/>
          <w:b w:val="1"/>
          <w:bCs w:val="1"/>
          <w:color w:val="auto"/>
        </w:rPr>
        <w:t>Premises E Rent Commencement Date</w:t>
      </w:r>
      <w:r>
        <w:rPr>
          <w:rFonts w:ascii="Arial" w:cs="Arial" w:eastAsia="Arial" w:hAnsi="Arial"/>
          <w:sz w:val="18"/>
          <w:szCs w:val="18"/>
          <w:color w:val="auto"/>
        </w:rPr>
        <w:t>” shall commence on the date which is four (4) months following the Premises E Commencement Date.</w:t>
      </w:r>
    </w:p>
    <w:p>
      <w:pPr>
        <w:spacing w:after="0" w:line="140" w:lineRule="exact"/>
        <w:rPr>
          <w:rFonts w:ascii="Arial" w:cs="Arial" w:eastAsia="Arial" w:hAnsi="Arial"/>
          <w:sz w:val="18"/>
          <w:szCs w:val="18"/>
          <w:color w:val="auto"/>
        </w:rPr>
      </w:pPr>
    </w:p>
    <w:p>
      <w:pPr>
        <w:ind w:right="20" w:firstLine="8"/>
        <w:spacing w:after="0" w:line="307" w:lineRule="auto"/>
        <w:tabs>
          <w:tab w:leader="none" w:pos="658"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Yearly Rent for Premises E</w:t>
      </w:r>
      <w:r>
        <w:rPr>
          <w:rFonts w:ascii="Arial" w:cs="Arial" w:eastAsia="Arial" w:hAnsi="Arial"/>
          <w:sz w:val="16"/>
          <w:szCs w:val="16"/>
          <w:color w:val="auto"/>
        </w:rPr>
        <w:t>. Effective as of the Premises E Rent Commencement Date, Tenant shall pay Yearly Rent with respect to Premises E in accordance with the following schedule and in accordance with all other terms and conditions applicable to the payment of Yearly Rent under the Lease:</w:t>
      </w:r>
    </w:p>
    <w:p>
      <w:pPr>
        <w:spacing w:after="0" w:line="97"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2920" w:type="dxa"/>
            <w:vAlign w:val="bottom"/>
            <w:tcBorders>
              <w:top w:val="single" w:sz="8" w:color="auto"/>
              <w:left w:val="single" w:sz="8" w:color="auto"/>
              <w:right w:val="single" w:sz="8" w:color="auto"/>
            </w:tcBorders>
            <w:shd w:val="clear" w:color="auto" w:fill="C0C0C0"/>
          </w:tcPr>
          <w:p>
            <w:pPr>
              <w:ind w:left="80"/>
              <w:spacing w:after="0" w:line="186" w:lineRule="exact"/>
              <w:rPr>
                <w:sz w:val="20"/>
                <w:szCs w:val="20"/>
                <w:color w:val="auto"/>
              </w:rPr>
            </w:pPr>
            <w:r>
              <w:rPr>
                <w:rFonts w:ascii="Arial" w:cs="Arial" w:eastAsia="Arial" w:hAnsi="Arial"/>
                <w:sz w:val="18"/>
                <w:szCs w:val="18"/>
                <w:b w:val="1"/>
                <w:bCs w:val="1"/>
                <w:color w:val="auto"/>
              </w:rPr>
              <w:t>Term for Premises E</w:t>
            </w:r>
          </w:p>
        </w:tc>
        <w:tc>
          <w:tcPr>
            <w:tcW w:w="1840" w:type="dxa"/>
            <w:vAlign w:val="bottom"/>
            <w:tcBorders>
              <w:top w:val="single" w:sz="8" w:color="auto"/>
            </w:tcBorders>
            <w:shd w:val="clear" w:color="auto" w:fill="C0C0C0"/>
          </w:tcPr>
          <w:p>
            <w:pPr>
              <w:ind w:left="40"/>
              <w:spacing w:after="0" w:line="186" w:lineRule="exact"/>
              <w:rPr>
                <w:sz w:val="20"/>
                <w:szCs w:val="20"/>
                <w:color w:val="auto"/>
              </w:rPr>
            </w:pPr>
            <w:r>
              <w:rPr>
                <w:rFonts w:ascii="Arial" w:cs="Arial" w:eastAsia="Arial" w:hAnsi="Arial"/>
                <w:sz w:val="18"/>
                <w:szCs w:val="18"/>
                <w:b w:val="1"/>
                <w:bCs w:val="1"/>
                <w:color w:val="auto"/>
              </w:rPr>
              <w:t>Yearly Rent</w:t>
            </w:r>
          </w:p>
        </w:tc>
        <w:tc>
          <w:tcPr>
            <w:tcW w:w="1000" w:type="dxa"/>
            <w:vAlign w:val="bottom"/>
            <w:tcBorders>
              <w:top w:val="single" w:sz="8" w:color="auto"/>
              <w:right w:val="single" w:sz="8" w:color="auto"/>
            </w:tcBorders>
            <w:shd w:val="clear" w:color="auto" w:fill="C0C0C0"/>
          </w:tcPr>
          <w:p>
            <w:pPr>
              <w:spacing w:after="0"/>
              <w:rPr>
                <w:sz w:val="16"/>
                <w:szCs w:val="16"/>
                <w:color w:val="auto"/>
              </w:rPr>
            </w:pPr>
          </w:p>
        </w:tc>
        <w:tc>
          <w:tcPr>
            <w:tcW w:w="2840" w:type="dxa"/>
            <w:vAlign w:val="bottom"/>
            <w:tcBorders>
              <w:top w:val="single" w:sz="8" w:color="auto"/>
              <w:right w:val="single" w:sz="8" w:color="auto"/>
            </w:tcBorders>
            <w:shd w:val="clear" w:color="auto" w:fill="C0C0C0"/>
          </w:tcPr>
          <w:p>
            <w:pPr>
              <w:ind w:left="40"/>
              <w:spacing w:after="0" w:line="186" w:lineRule="exact"/>
              <w:rPr>
                <w:sz w:val="20"/>
                <w:szCs w:val="20"/>
                <w:color w:val="auto"/>
              </w:rPr>
            </w:pPr>
            <w:r>
              <w:rPr>
                <w:rFonts w:ascii="Arial" w:cs="Arial" w:eastAsia="Arial" w:hAnsi="Arial"/>
                <w:sz w:val="18"/>
                <w:szCs w:val="18"/>
                <w:b w:val="1"/>
                <w:bCs w:val="1"/>
                <w:color w:val="auto"/>
              </w:rPr>
              <w:t>Monthly Payment</w:t>
            </w:r>
          </w:p>
        </w:tc>
        <w:tc>
          <w:tcPr>
            <w:tcW w:w="2860" w:type="dxa"/>
            <w:vAlign w:val="bottom"/>
            <w:tcBorders>
              <w:top w:val="single" w:sz="8" w:color="auto"/>
              <w:right w:val="single" w:sz="8" w:color="auto"/>
            </w:tcBorders>
            <w:shd w:val="clear" w:color="auto" w:fill="C0C0C0"/>
          </w:tcPr>
          <w:p>
            <w:pPr>
              <w:ind w:left="40"/>
              <w:spacing w:after="0" w:line="186" w:lineRule="exact"/>
              <w:rPr>
                <w:sz w:val="20"/>
                <w:szCs w:val="20"/>
                <w:color w:val="auto"/>
              </w:rPr>
            </w:pPr>
            <w:r>
              <w:rPr>
                <w:rFonts w:ascii="Arial" w:cs="Arial" w:eastAsia="Arial" w:hAnsi="Arial"/>
                <w:sz w:val="18"/>
                <w:szCs w:val="18"/>
                <w:b w:val="1"/>
                <w:bCs w:val="1"/>
                <w:color w:val="auto"/>
              </w:rPr>
              <w:t>Per Rentable</w:t>
            </w:r>
          </w:p>
        </w:tc>
        <w:tc>
          <w:tcPr>
            <w:tcW w:w="20" w:type="dxa"/>
            <w:vAlign w:val="bottom"/>
          </w:tcPr>
          <w:p>
            <w:pPr>
              <w:spacing w:after="0"/>
              <w:rPr>
                <w:sz w:val="16"/>
                <w:szCs w:val="16"/>
                <w:color w:val="auto"/>
              </w:rPr>
            </w:pPr>
          </w:p>
        </w:tc>
      </w:tr>
      <w:tr>
        <w:trPr>
          <w:trHeight w:val="197"/>
        </w:trPr>
        <w:tc>
          <w:tcPr>
            <w:tcW w:w="2920" w:type="dxa"/>
            <w:vAlign w:val="bottom"/>
            <w:tcBorders>
              <w:left w:val="single" w:sz="8" w:color="auto"/>
              <w:right w:val="single" w:sz="8" w:color="auto"/>
            </w:tcBorders>
            <w:shd w:val="clear" w:color="auto" w:fill="C0C0C0"/>
          </w:tcPr>
          <w:p>
            <w:pPr>
              <w:spacing w:after="0"/>
              <w:rPr>
                <w:sz w:val="17"/>
                <w:szCs w:val="17"/>
                <w:color w:val="auto"/>
              </w:rPr>
            </w:pPr>
          </w:p>
        </w:tc>
        <w:tc>
          <w:tcPr>
            <w:tcW w:w="1840" w:type="dxa"/>
            <w:vAlign w:val="bottom"/>
            <w:shd w:val="clear" w:color="auto" w:fill="C0C0C0"/>
          </w:tcPr>
          <w:p>
            <w:pPr>
              <w:spacing w:after="0"/>
              <w:rPr>
                <w:sz w:val="17"/>
                <w:szCs w:val="17"/>
                <w:color w:val="auto"/>
              </w:rPr>
            </w:pPr>
          </w:p>
        </w:tc>
        <w:tc>
          <w:tcPr>
            <w:tcW w:w="1000" w:type="dxa"/>
            <w:vAlign w:val="bottom"/>
            <w:tcBorders>
              <w:right w:val="single" w:sz="8" w:color="auto"/>
            </w:tcBorders>
            <w:shd w:val="clear" w:color="auto" w:fill="C0C0C0"/>
          </w:tcPr>
          <w:p>
            <w:pPr>
              <w:spacing w:after="0"/>
              <w:rPr>
                <w:sz w:val="17"/>
                <w:szCs w:val="17"/>
                <w:color w:val="auto"/>
              </w:rPr>
            </w:pPr>
          </w:p>
        </w:tc>
        <w:tc>
          <w:tcPr>
            <w:tcW w:w="2840" w:type="dxa"/>
            <w:vAlign w:val="bottom"/>
            <w:tcBorders>
              <w:right w:val="single" w:sz="8" w:color="auto"/>
            </w:tcBorders>
            <w:shd w:val="clear" w:color="auto" w:fill="C0C0C0"/>
          </w:tcPr>
          <w:p>
            <w:pPr>
              <w:spacing w:after="0"/>
              <w:rPr>
                <w:sz w:val="17"/>
                <w:szCs w:val="17"/>
                <w:color w:val="auto"/>
              </w:rPr>
            </w:pPr>
          </w:p>
        </w:tc>
        <w:tc>
          <w:tcPr>
            <w:tcW w:w="2860" w:type="dxa"/>
            <w:vAlign w:val="bottom"/>
            <w:tcBorders>
              <w:right w:val="single" w:sz="8" w:color="auto"/>
            </w:tcBorders>
            <w:shd w:val="clear" w:color="auto" w:fill="C0C0C0"/>
          </w:tcPr>
          <w:p>
            <w:pPr>
              <w:ind w:left="40"/>
              <w:spacing w:after="0" w:line="197" w:lineRule="exact"/>
              <w:rPr>
                <w:sz w:val="20"/>
                <w:szCs w:val="20"/>
                <w:color w:val="auto"/>
              </w:rPr>
            </w:pPr>
            <w:r>
              <w:rPr>
                <w:rFonts w:ascii="Arial" w:cs="Arial" w:eastAsia="Arial" w:hAnsi="Arial"/>
                <w:sz w:val="18"/>
                <w:szCs w:val="18"/>
                <w:b w:val="1"/>
                <w:bCs w:val="1"/>
                <w:color w:val="auto"/>
              </w:rPr>
              <w:t>Square Foot of</w:t>
            </w:r>
          </w:p>
        </w:tc>
        <w:tc>
          <w:tcPr>
            <w:tcW w:w="20" w:type="dxa"/>
            <w:vAlign w:val="bottom"/>
          </w:tcPr>
          <w:p>
            <w:pPr>
              <w:spacing w:after="0"/>
              <w:rPr>
                <w:sz w:val="17"/>
                <w:szCs w:val="17"/>
                <w:color w:val="auto"/>
              </w:rPr>
            </w:pPr>
          </w:p>
        </w:tc>
      </w:tr>
      <w:tr>
        <w:trPr>
          <w:trHeight w:val="230"/>
        </w:trPr>
        <w:tc>
          <w:tcPr>
            <w:tcW w:w="2920" w:type="dxa"/>
            <w:vAlign w:val="bottom"/>
            <w:tcBorders>
              <w:left w:val="single" w:sz="8" w:color="auto"/>
              <w:bottom w:val="single" w:sz="8" w:color="auto"/>
              <w:right w:val="single" w:sz="8" w:color="auto"/>
            </w:tcBorders>
            <w:shd w:val="clear" w:color="auto" w:fill="C0C0C0"/>
          </w:tcPr>
          <w:p>
            <w:pPr>
              <w:spacing w:after="0"/>
              <w:rPr>
                <w:sz w:val="19"/>
                <w:szCs w:val="19"/>
                <w:color w:val="auto"/>
              </w:rPr>
            </w:pPr>
          </w:p>
        </w:tc>
        <w:tc>
          <w:tcPr>
            <w:tcW w:w="1840" w:type="dxa"/>
            <w:vAlign w:val="bottom"/>
            <w:tcBorders>
              <w:bottom w:val="single" w:sz="8" w:color="auto"/>
            </w:tcBorders>
            <w:shd w:val="clear" w:color="auto" w:fill="C0C0C0"/>
          </w:tcPr>
          <w:p>
            <w:pPr>
              <w:spacing w:after="0"/>
              <w:rPr>
                <w:sz w:val="19"/>
                <w:szCs w:val="19"/>
                <w:color w:val="auto"/>
              </w:rPr>
            </w:pPr>
          </w:p>
        </w:tc>
        <w:tc>
          <w:tcPr>
            <w:tcW w:w="1000" w:type="dxa"/>
            <w:vAlign w:val="bottom"/>
            <w:tcBorders>
              <w:bottom w:val="single" w:sz="8" w:color="auto"/>
              <w:right w:val="single" w:sz="8" w:color="auto"/>
            </w:tcBorders>
            <w:shd w:val="clear" w:color="auto" w:fill="C0C0C0"/>
          </w:tcPr>
          <w:p>
            <w:pPr>
              <w:spacing w:after="0"/>
              <w:rPr>
                <w:sz w:val="19"/>
                <w:szCs w:val="19"/>
                <w:color w:val="auto"/>
              </w:rPr>
            </w:pPr>
          </w:p>
        </w:tc>
        <w:tc>
          <w:tcPr>
            <w:tcW w:w="2840" w:type="dxa"/>
            <w:vAlign w:val="bottom"/>
            <w:tcBorders>
              <w:bottom w:val="single" w:sz="8" w:color="auto"/>
              <w:right w:val="single" w:sz="8" w:color="auto"/>
            </w:tcBorders>
            <w:shd w:val="clear" w:color="auto" w:fill="C0C0C0"/>
          </w:tcPr>
          <w:p>
            <w:pPr>
              <w:spacing w:after="0"/>
              <w:rPr>
                <w:sz w:val="19"/>
                <w:szCs w:val="19"/>
                <w:color w:val="auto"/>
              </w:rPr>
            </w:pPr>
          </w:p>
        </w:tc>
        <w:tc>
          <w:tcPr>
            <w:tcW w:w="2860" w:type="dxa"/>
            <w:vAlign w:val="bottom"/>
            <w:tcBorders>
              <w:bottom w:val="single" w:sz="8" w:color="auto"/>
              <w:right w:val="single" w:sz="8" w:color="auto"/>
            </w:tcBorders>
            <w:shd w:val="clear" w:color="auto" w:fill="C0C0C0"/>
          </w:tcPr>
          <w:p>
            <w:pPr>
              <w:ind w:left="40"/>
              <w:spacing w:after="0"/>
              <w:rPr>
                <w:sz w:val="20"/>
                <w:szCs w:val="20"/>
                <w:color w:val="auto"/>
              </w:rPr>
            </w:pPr>
            <w:r>
              <w:rPr>
                <w:rFonts w:ascii="Arial" w:cs="Arial" w:eastAsia="Arial" w:hAnsi="Arial"/>
                <w:sz w:val="18"/>
                <w:szCs w:val="18"/>
                <w:b w:val="1"/>
                <w:bCs w:val="1"/>
                <w:color w:val="auto"/>
              </w:rPr>
              <w:t>Premises D</w:t>
            </w:r>
          </w:p>
        </w:tc>
        <w:tc>
          <w:tcPr>
            <w:tcW w:w="20" w:type="dxa"/>
            <w:vAlign w:val="bottom"/>
          </w:tcPr>
          <w:p>
            <w:pPr>
              <w:spacing w:after="0"/>
              <w:rPr>
                <w:sz w:val="19"/>
                <w:szCs w:val="19"/>
                <w:color w:val="auto"/>
              </w:rPr>
            </w:pPr>
          </w:p>
        </w:tc>
      </w:tr>
      <w:tr>
        <w:trPr>
          <w:trHeight w:val="173"/>
        </w:trPr>
        <w:tc>
          <w:tcPr>
            <w:tcW w:w="2920" w:type="dxa"/>
            <w:vAlign w:val="bottom"/>
            <w:tcBorders>
              <w:left w:val="single" w:sz="8" w:color="auto"/>
              <w:right w:val="single" w:sz="8" w:color="auto"/>
            </w:tcBorders>
          </w:tcPr>
          <w:p>
            <w:pPr>
              <w:ind w:left="80"/>
              <w:spacing w:after="0" w:line="173" w:lineRule="exact"/>
              <w:rPr>
                <w:sz w:val="20"/>
                <w:szCs w:val="20"/>
                <w:color w:val="auto"/>
              </w:rPr>
            </w:pPr>
            <w:r>
              <w:rPr>
                <w:rFonts w:ascii="Arial" w:cs="Arial" w:eastAsia="Arial" w:hAnsi="Arial"/>
                <w:sz w:val="18"/>
                <w:szCs w:val="18"/>
                <w:color w:val="auto"/>
                <w:w w:val="91"/>
              </w:rPr>
              <w:t>From the Premises E Commencement</w:t>
            </w:r>
          </w:p>
        </w:tc>
        <w:tc>
          <w:tcPr>
            <w:tcW w:w="1840" w:type="dxa"/>
            <w:vAlign w:val="bottom"/>
          </w:tcPr>
          <w:p>
            <w:pPr>
              <w:ind w:left="40"/>
              <w:spacing w:after="0" w:line="173" w:lineRule="exact"/>
              <w:rPr>
                <w:sz w:val="20"/>
                <w:szCs w:val="20"/>
                <w:color w:val="auto"/>
              </w:rPr>
            </w:pPr>
            <w:r>
              <w:rPr>
                <w:rFonts w:ascii="Arial" w:cs="Arial" w:eastAsia="Arial" w:hAnsi="Arial"/>
                <w:sz w:val="18"/>
                <w:szCs w:val="18"/>
                <w:color w:val="auto"/>
              </w:rPr>
              <w:t>$0</w:t>
            </w:r>
          </w:p>
        </w:tc>
        <w:tc>
          <w:tcPr>
            <w:tcW w:w="100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tcPr>
          <w:p>
            <w:pPr>
              <w:ind w:left="40"/>
              <w:spacing w:after="0" w:line="173" w:lineRule="exact"/>
              <w:rPr>
                <w:sz w:val="20"/>
                <w:szCs w:val="20"/>
                <w:color w:val="auto"/>
              </w:rPr>
            </w:pPr>
            <w:r>
              <w:rPr>
                <w:rFonts w:ascii="Arial" w:cs="Arial" w:eastAsia="Arial" w:hAnsi="Arial"/>
                <w:sz w:val="18"/>
                <w:szCs w:val="18"/>
                <w:color w:val="auto"/>
              </w:rPr>
              <w:t>$0</w:t>
            </w:r>
          </w:p>
        </w:tc>
        <w:tc>
          <w:tcPr>
            <w:tcW w:w="2860" w:type="dxa"/>
            <w:vAlign w:val="bottom"/>
            <w:tcBorders>
              <w:right w:val="single" w:sz="8" w:color="auto"/>
            </w:tcBorders>
          </w:tcPr>
          <w:p>
            <w:pPr>
              <w:ind w:left="40"/>
              <w:spacing w:after="0" w:line="173"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5"/>
                <w:szCs w:val="15"/>
                <w:color w:val="auto"/>
              </w:rPr>
            </w:pPr>
          </w:p>
        </w:tc>
      </w:tr>
      <w:tr>
        <w:trPr>
          <w:trHeight w:val="197"/>
        </w:trPr>
        <w:tc>
          <w:tcPr>
            <w:tcW w:w="2920" w:type="dxa"/>
            <w:vAlign w:val="bottom"/>
            <w:tcBorders>
              <w:left w:val="single" w:sz="8" w:color="auto"/>
              <w:right w:val="single" w:sz="8" w:color="auto"/>
            </w:tcBorders>
          </w:tcPr>
          <w:p>
            <w:pPr>
              <w:ind w:left="80"/>
              <w:spacing w:after="0" w:line="197" w:lineRule="exact"/>
              <w:rPr>
                <w:sz w:val="20"/>
                <w:szCs w:val="20"/>
                <w:color w:val="auto"/>
              </w:rPr>
            </w:pPr>
            <w:r>
              <w:rPr>
                <w:rFonts w:ascii="Arial" w:cs="Arial" w:eastAsia="Arial" w:hAnsi="Arial"/>
                <w:sz w:val="18"/>
                <w:szCs w:val="18"/>
                <w:color w:val="auto"/>
              </w:rPr>
              <w:t>Date through the day immediately</w:t>
            </w:r>
          </w:p>
        </w:tc>
        <w:tc>
          <w:tcPr>
            <w:tcW w:w="184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2840" w:type="dxa"/>
            <w:vAlign w:val="bottom"/>
            <w:tcBorders>
              <w:right w:val="single" w:sz="8" w:color="auto"/>
            </w:tcBorders>
          </w:tcPr>
          <w:p>
            <w:pPr>
              <w:spacing w:after="0"/>
              <w:rPr>
                <w:sz w:val="17"/>
                <w:szCs w:val="17"/>
                <w:color w:val="auto"/>
              </w:rPr>
            </w:pPr>
          </w:p>
        </w:tc>
        <w:tc>
          <w:tcPr>
            <w:tcW w:w="28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2920" w:type="dxa"/>
            <w:vAlign w:val="bottom"/>
            <w:tcBorders>
              <w:left w:val="single" w:sz="8" w:color="auto"/>
              <w:right w:val="single" w:sz="8" w:color="auto"/>
            </w:tcBorders>
          </w:tcPr>
          <w:p>
            <w:pPr>
              <w:ind w:left="80"/>
              <w:spacing w:after="0" w:line="197" w:lineRule="exact"/>
              <w:rPr>
                <w:sz w:val="20"/>
                <w:szCs w:val="20"/>
                <w:color w:val="auto"/>
              </w:rPr>
            </w:pPr>
            <w:r>
              <w:rPr>
                <w:rFonts w:ascii="Arial" w:cs="Arial" w:eastAsia="Arial" w:hAnsi="Arial"/>
                <w:sz w:val="18"/>
                <w:szCs w:val="18"/>
                <w:color w:val="auto"/>
              </w:rPr>
              <w:t>preceding the Premises E Rent</w:t>
            </w:r>
          </w:p>
        </w:tc>
        <w:tc>
          <w:tcPr>
            <w:tcW w:w="184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2840" w:type="dxa"/>
            <w:vAlign w:val="bottom"/>
            <w:tcBorders>
              <w:right w:val="single" w:sz="8" w:color="auto"/>
            </w:tcBorders>
          </w:tcPr>
          <w:p>
            <w:pPr>
              <w:spacing w:after="0"/>
              <w:rPr>
                <w:sz w:val="17"/>
                <w:szCs w:val="17"/>
                <w:color w:val="auto"/>
              </w:rPr>
            </w:pPr>
          </w:p>
        </w:tc>
        <w:tc>
          <w:tcPr>
            <w:tcW w:w="28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29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Commencement Date</w:t>
            </w:r>
          </w:p>
        </w:tc>
        <w:tc>
          <w:tcPr>
            <w:tcW w:w="184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284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617"/>
        </w:trPr>
        <w:tc>
          <w:tcPr>
            <w:tcW w:w="2920" w:type="dxa"/>
            <w:vAlign w:val="bottom"/>
            <w:tcBorders>
              <w:left w:val="single" w:sz="8" w:color="auto"/>
              <w:bottom w:val="single" w:sz="8" w:color="auto"/>
              <w:right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72"/>
        </w:trPr>
        <w:tc>
          <w:tcPr>
            <w:tcW w:w="2920" w:type="dxa"/>
            <w:vAlign w:val="bottom"/>
            <w:tcBorders>
              <w:left w:val="single" w:sz="8" w:color="auto"/>
              <w:right w:val="single" w:sz="8" w:color="auto"/>
            </w:tcBorders>
          </w:tcPr>
          <w:p>
            <w:pPr>
              <w:ind w:left="80"/>
              <w:spacing w:after="0" w:line="171" w:lineRule="exact"/>
              <w:rPr>
                <w:sz w:val="20"/>
                <w:szCs w:val="20"/>
                <w:color w:val="auto"/>
              </w:rPr>
            </w:pPr>
            <w:r>
              <w:rPr>
                <w:rFonts w:ascii="Arial" w:cs="Arial" w:eastAsia="Arial" w:hAnsi="Arial"/>
                <w:sz w:val="18"/>
                <w:szCs w:val="18"/>
                <w:color w:val="auto"/>
              </w:rPr>
              <w:t>From the Premises E</w:t>
            </w:r>
          </w:p>
        </w:tc>
        <w:tc>
          <w:tcPr>
            <w:tcW w:w="1840" w:type="dxa"/>
            <w:vAlign w:val="bottom"/>
          </w:tcPr>
          <w:p>
            <w:pPr>
              <w:ind w:left="40"/>
              <w:spacing w:after="0" w:line="171" w:lineRule="exact"/>
              <w:rPr>
                <w:sz w:val="20"/>
                <w:szCs w:val="20"/>
                <w:color w:val="auto"/>
              </w:rPr>
            </w:pPr>
            <w:r>
              <w:rPr>
                <w:rFonts w:ascii="Arial" w:cs="Arial" w:eastAsia="Arial" w:hAnsi="Arial"/>
                <w:sz w:val="18"/>
                <w:szCs w:val="18"/>
                <w:color w:val="auto"/>
              </w:rPr>
              <w:t>$727,848.00</w:t>
            </w:r>
          </w:p>
        </w:tc>
        <w:tc>
          <w:tcPr>
            <w:tcW w:w="1000" w:type="dxa"/>
            <w:vAlign w:val="bottom"/>
            <w:tcBorders>
              <w:right w:val="single" w:sz="8" w:color="auto"/>
            </w:tcBorders>
          </w:tcPr>
          <w:p>
            <w:pPr>
              <w:spacing w:after="0"/>
              <w:rPr>
                <w:sz w:val="14"/>
                <w:szCs w:val="14"/>
                <w:color w:val="auto"/>
              </w:rPr>
            </w:pPr>
          </w:p>
        </w:tc>
        <w:tc>
          <w:tcPr>
            <w:tcW w:w="2840" w:type="dxa"/>
            <w:vAlign w:val="bottom"/>
            <w:tcBorders>
              <w:right w:val="single" w:sz="8" w:color="auto"/>
            </w:tcBorders>
          </w:tcPr>
          <w:p>
            <w:pPr>
              <w:ind w:left="40"/>
              <w:spacing w:after="0" w:line="171" w:lineRule="exact"/>
              <w:rPr>
                <w:sz w:val="20"/>
                <w:szCs w:val="20"/>
                <w:color w:val="auto"/>
              </w:rPr>
            </w:pPr>
            <w:r>
              <w:rPr>
                <w:rFonts w:ascii="Arial" w:cs="Arial" w:eastAsia="Arial" w:hAnsi="Arial"/>
                <w:sz w:val="18"/>
                <w:szCs w:val="18"/>
                <w:color w:val="auto"/>
              </w:rPr>
              <w:t>$60,654.00</w:t>
            </w:r>
          </w:p>
        </w:tc>
        <w:tc>
          <w:tcPr>
            <w:tcW w:w="2860" w:type="dxa"/>
            <w:vAlign w:val="bottom"/>
            <w:tcBorders>
              <w:right w:val="single" w:sz="8" w:color="auto"/>
            </w:tcBorders>
          </w:tcPr>
          <w:p>
            <w:pPr>
              <w:ind w:left="40"/>
              <w:spacing w:after="0" w:line="171" w:lineRule="exact"/>
              <w:rPr>
                <w:sz w:val="20"/>
                <w:szCs w:val="20"/>
                <w:color w:val="auto"/>
              </w:rPr>
            </w:pPr>
            <w:r>
              <w:rPr>
                <w:rFonts w:ascii="Arial" w:cs="Arial" w:eastAsia="Arial" w:hAnsi="Arial"/>
                <w:sz w:val="18"/>
                <w:szCs w:val="18"/>
                <w:color w:val="auto"/>
              </w:rPr>
              <w:t>$72.00</w:t>
            </w:r>
          </w:p>
        </w:tc>
        <w:tc>
          <w:tcPr>
            <w:tcW w:w="20" w:type="dxa"/>
            <w:vAlign w:val="bottom"/>
          </w:tcPr>
          <w:p>
            <w:pPr>
              <w:spacing w:after="0"/>
              <w:rPr>
                <w:sz w:val="14"/>
                <w:szCs w:val="14"/>
                <w:color w:val="auto"/>
              </w:rPr>
            </w:pPr>
          </w:p>
        </w:tc>
      </w:tr>
      <w:tr>
        <w:trPr>
          <w:trHeight w:val="197"/>
        </w:trPr>
        <w:tc>
          <w:tcPr>
            <w:tcW w:w="2920" w:type="dxa"/>
            <w:vAlign w:val="bottom"/>
            <w:tcBorders>
              <w:left w:val="single" w:sz="8" w:color="auto"/>
              <w:right w:val="single" w:sz="8" w:color="auto"/>
            </w:tcBorders>
          </w:tcPr>
          <w:p>
            <w:pPr>
              <w:ind w:left="80"/>
              <w:spacing w:after="0" w:line="197" w:lineRule="exact"/>
              <w:rPr>
                <w:sz w:val="20"/>
                <w:szCs w:val="20"/>
                <w:color w:val="auto"/>
              </w:rPr>
            </w:pPr>
            <w:r>
              <w:rPr>
                <w:rFonts w:ascii="Arial" w:cs="Arial" w:eastAsia="Arial" w:hAnsi="Arial"/>
                <w:sz w:val="18"/>
                <w:szCs w:val="18"/>
                <w:color w:val="auto"/>
              </w:rPr>
              <w:t>Rent Commencement</w:t>
            </w:r>
          </w:p>
        </w:tc>
        <w:tc>
          <w:tcPr>
            <w:tcW w:w="184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2840" w:type="dxa"/>
            <w:vAlign w:val="bottom"/>
            <w:tcBorders>
              <w:right w:val="single" w:sz="8" w:color="auto"/>
            </w:tcBorders>
          </w:tcPr>
          <w:p>
            <w:pPr>
              <w:spacing w:after="0"/>
              <w:rPr>
                <w:sz w:val="17"/>
                <w:szCs w:val="17"/>
                <w:color w:val="auto"/>
              </w:rPr>
            </w:pPr>
          </w:p>
        </w:tc>
        <w:tc>
          <w:tcPr>
            <w:tcW w:w="28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24"/>
        </w:trPr>
        <w:tc>
          <w:tcPr>
            <w:tcW w:w="29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Date through the</w:t>
            </w:r>
          </w:p>
        </w:tc>
        <w:tc>
          <w:tcPr>
            <w:tcW w:w="184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373"/>
        </w:trPr>
        <w:tc>
          <w:tcPr>
            <w:tcW w:w="2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840" w:type="dxa"/>
            <w:vAlign w:val="bottom"/>
            <w:gridSpan w:val="2"/>
          </w:tcPr>
          <w:p>
            <w:pPr>
              <w:jc w:val="right"/>
              <w:ind w:right="2732"/>
              <w:spacing w:after="0"/>
              <w:rPr>
                <w:sz w:val="20"/>
                <w:szCs w:val="20"/>
                <w:color w:val="auto"/>
              </w:rPr>
            </w:pPr>
            <w:r>
              <w:rPr>
                <w:rFonts w:ascii="Arial" w:cs="Arial" w:eastAsia="Arial" w:hAnsi="Arial"/>
                <w:sz w:val="18"/>
                <w:szCs w:val="18"/>
                <w:color w:val="auto"/>
              </w:rPr>
              <w:t>2</w:t>
            </w:r>
          </w:p>
        </w:tc>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2"/>
        </w:trPr>
        <w:tc>
          <w:tcPr>
            <w:tcW w:w="2920" w:type="dxa"/>
            <w:vAlign w:val="bottom"/>
            <w:tcBorders>
              <w:bottom w:val="single" w:sz="8" w:color="9A9A9A"/>
            </w:tcBorders>
          </w:tcPr>
          <w:p>
            <w:pPr>
              <w:spacing w:after="0"/>
              <w:rPr>
                <w:sz w:val="7"/>
                <w:szCs w:val="7"/>
                <w:color w:val="auto"/>
              </w:rPr>
            </w:pPr>
          </w:p>
        </w:tc>
        <w:tc>
          <w:tcPr>
            <w:tcW w:w="18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840" w:type="dxa"/>
            <w:vAlign w:val="bottom"/>
            <w:tcBorders>
              <w:bottom w:val="single" w:sz="8" w:color="9A9A9A"/>
            </w:tcBorders>
          </w:tcPr>
          <w:p>
            <w:pPr>
              <w:spacing w:after="0"/>
              <w:rPr>
                <w:sz w:val="7"/>
                <w:szCs w:val="7"/>
                <w:color w:val="auto"/>
              </w:rPr>
            </w:pPr>
          </w:p>
        </w:tc>
        <w:tc>
          <w:tcPr>
            <w:tcW w:w="28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-26035</wp:posOffset>
            </wp:positionV>
            <wp:extent cx="32385" cy="393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309" w:right="199" w:bottom="1440" w:gutter="0" w:footer="0" w:header="0"/>
        </w:sectPr>
      </w:pPr>
    </w:p>
    <w:bookmarkStart w:id="54" w:name="page55"/>
    <w:bookmarkEnd w:id="54"/>
    <w:tbl>
      <w:tblPr>
        <w:tblLayout w:type="fixed"/>
        <w:tblInd w:w="10" w:type="dxa"/>
        <w:tblCellMar>
          <w:top w:w="0" w:type="dxa"/>
          <w:left w:w="0" w:type="dxa"/>
          <w:bottom w:w="0" w:type="dxa"/>
          <w:right w:w="0" w:type="dxa"/>
        </w:tblCellMar>
      </w:tblPr>
      <w:tr>
        <w:trPr>
          <w:trHeight w:val="192"/>
        </w:trPr>
        <w:tc>
          <w:tcPr>
            <w:tcW w:w="2920" w:type="dxa"/>
            <w:vAlign w:val="bottom"/>
            <w:tcBorders>
              <w:top w:val="single" w:sz="8" w:color="auto"/>
              <w:left w:val="single" w:sz="8" w:color="auto"/>
              <w:right w:val="single" w:sz="8" w:color="auto"/>
            </w:tcBorders>
          </w:tcPr>
          <w:p>
            <w:pPr>
              <w:ind w:left="80"/>
              <w:spacing w:after="0" w:line="192" w:lineRule="exact"/>
              <w:rPr>
                <w:sz w:val="20"/>
                <w:szCs w:val="20"/>
                <w:color w:val="auto"/>
              </w:rPr>
            </w:pPr>
            <w:r>
              <w:rPr>
                <w:rFonts w:ascii="Arial" w:cs="Arial" w:eastAsia="Arial" w:hAnsi="Arial"/>
                <w:sz w:val="18"/>
                <w:szCs w:val="18"/>
                <w:color w:val="auto"/>
              </w:rPr>
              <w:t>expiration of the First</w:t>
            </w:r>
          </w:p>
        </w:tc>
        <w:tc>
          <w:tcPr>
            <w:tcW w:w="2840" w:type="dxa"/>
            <w:vAlign w:val="bottom"/>
            <w:tcBorders>
              <w:top w:val="single" w:sz="8" w:color="auto"/>
              <w:right w:val="single" w:sz="8" w:color="auto"/>
            </w:tcBorders>
          </w:tcPr>
          <w:p>
            <w:pPr>
              <w:spacing w:after="0"/>
              <w:rPr>
                <w:sz w:val="16"/>
                <w:szCs w:val="16"/>
                <w:color w:val="auto"/>
              </w:rPr>
            </w:pPr>
          </w:p>
        </w:tc>
        <w:tc>
          <w:tcPr>
            <w:tcW w:w="2840" w:type="dxa"/>
            <w:vAlign w:val="bottom"/>
            <w:tcBorders>
              <w:top w:val="single" w:sz="8" w:color="auto"/>
              <w:right w:val="single" w:sz="8" w:color="auto"/>
            </w:tcBorders>
          </w:tcPr>
          <w:p>
            <w:pPr>
              <w:spacing w:after="0"/>
              <w:rPr>
                <w:sz w:val="16"/>
                <w:szCs w:val="16"/>
                <w:color w:val="auto"/>
              </w:rPr>
            </w:pPr>
          </w:p>
        </w:tc>
        <w:tc>
          <w:tcPr>
            <w:tcW w:w="2860" w:type="dxa"/>
            <w:vAlign w:val="bottom"/>
            <w:tcBorders>
              <w:top w:val="single" w:sz="8" w:color="auto"/>
              <w:right w:val="single" w:sz="8" w:color="auto"/>
            </w:tcBorders>
          </w:tcPr>
          <w:p>
            <w:pPr>
              <w:spacing w:after="0"/>
              <w:rPr>
                <w:sz w:val="16"/>
                <w:szCs w:val="16"/>
                <w:color w:val="auto"/>
              </w:rPr>
            </w:pPr>
          </w:p>
        </w:tc>
      </w:tr>
      <w:tr>
        <w:trPr>
          <w:trHeight w:val="214"/>
        </w:trPr>
        <w:tc>
          <w:tcPr>
            <w:tcW w:w="29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Premises E Rent Year</w:t>
            </w:r>
          </w:p>
        </w:tc>
        <w:tc>
          <w:tcPr>
            <w:tcW w:w="284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c>
          <w:tcPr>
            <w:tcW w:w="2860" w:type="dxa"/>
            <w:vAlign w:val="bottom"/>
            <w:tcBorders>
              <w:bottom w:val="single" w:sz="8" w:color="auto"/>
              <w:right w:val="single" w:sz="8" w:color="auto"/>
            </w:tcBorders>
          </w:tcPr>
          <w:p>
            <w:pPr>
              <w:spacing w:after="0"/>
              <w:rPr>
                <w:sz w:val="18"/>
                <w:szCs w:val="18"/>
                <w:color w:val="auto"/>
              </w:rPr>
            </w:pPr>
          </w:p>
        </w:tc>
      </w:tr>
      <w:tr>
        <w:trPr>
          <w:trHeight w:val="213"/>
        </w:trPr>
        <w:tc>
          <w:tcPr>
            <w:tcW w:w="29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Second Premises E Rent Year</w:t>
            </w:r>
          </w:p>
        </w:tc>
        <w:tc>
          <w:tcPr>
            <w:tcW w:w="2840" w:type="dxa"/>
            <w:vAlign w:val="bottom"/>
            <w:tcBorders>
              <w:right w:val="single" w:sz="8" w:color="auto"/>
            </w:tcBorders>
          </w:tcPr>
          <w:p>
            <w:pPr>
              <w:jc w:val="right"/>
              <w:ind w:right="1832"/>
              <w:spacing w:after="0"/>
              <w:rPr>
                <w:sz w:val="20"/>
                <w:szCs w:val="20"/>
                <w:color w:val="auto"/>
              </w:rPr>
            </w:pPr>
            <w:r>
              <w:rPr>
                <w:rFonts w:ascii="Arial" w:cs="Arial" w:eastAsia="Arial" w:hAnsi="Arial"/>
                <w:sz w:val="18"/>
                <w:szCs w:val="18"/>
                <w:color w:val="auto"/>
                <w:w w:val="89"/>
              </w:rPr>
              <w:t>$737,957.00</w:t>
            </w:r>
          </w:p>
        </w:tc>
        <w:tc>
          <w:tcPr>
            <w:tcW w:w="2840" w:type="dxa"/>
            <w:vAlign w:val="bottom"/>
            <w:tcBorders>
              <w:right w:val="single" w:sz="8" w:color="auto"/>
            </w:tcBorders>
          </w:tcPr>
          <w:p>
            <w:pPr>
              <w:jc w:val="right"/>
              <w:ind w:right="1932"/>
              <w:spacing w:after="0"/>
              <w:rPr>
                <w:sz w:val="20"/>
                <w:szCs w:val="20"/>
                <w:color w:val="auto"/>
              </w:rPr>
            </w:pPr>
            <w:r>
              <w:rPr>
                <w:rFonts w:ascii="Arial" w:cs="Arial" w:eastAsia="Arial" w:hAnsi="Arial"/>
                <w:sz w:val="18"/>
                <w:szCs w:val="18"/>
                <w:color w:val="auto"/>
                <w:w w:val="88"/>
              </w:rPr>
              <w:t>$61,496.42</w:t>
            </w:r>
          </w:p>
        </w:tc>
        <w:tc>
          <w:tcPr>
            <w:tcW w:w="2860" w:type="dxa"/>
            <w:vAlign w:val="bottom"/>
            <w:tcBorders>
              <w:right w:val="single" w:sz="8" w:color="auto"/>
            </w:tcBorders>
          </w:tcPr>
          <w:p>
            <w:pPr>
              <w:jc w:val="right"/>
              <w:ind w:right="2232"/>
              <w:spacing w:after="0"/>
              <w:rPr>
                <w:sz w:val="20"/>
                <w:szCs w:val="20"/>
                <w:color w:val="auto"/>
              </w:rPr>
            </w:pPr>
            <w:r>
              <w:rPr>
                <w:rFonts w:ascii="Arial" w:cs="Arial" w:eastAsia="Arial" w:hAnsi="Arial"/>
                <w:sz w:val="18"/>
                <w:szCs w:val="18"/>
                <w:color w:val="auto"/>
                <w:w w:val="94"/>
              </w:rPr>
              <w:t>$73.00</w:t>
            </w:r>
          </w:p>
        </w:tc>
      </w:tr>
      <w:tr>
        <w:trPr>
          <w:trHeight w:val="173"/>
        </w:trPr>
        <w:tc>
          <w:tcPr>
            <w:tcW w:w="2920" w:type="dxa"/>
            <w:vAlign w:val="bottom"/>
            <w:tcBorders>
              <w:left w:val="single" w:sz="8" w:color="auto"/>
              <w:bottom w:val="single" w:sz="8" w:color="auto"/>
              <w:right w:val="single" w:sz="8" w:color="auto"/>
            </w:tcBorders>
          </w:tcPr>
          <w:p>
            <w:pPr>
              <w:spacing w:after="0"/>
              <w:rPr>
                <w:sz w:val="15"/>
                <w:szCs w:val="15"/>
                <w:color w:val="auto"/>
              </w:rPr>
            </w:pPr>
          </w:p>
        </w:tc>
        <w:tc>
          <w:tcPr>
            <w:tcW w:w="2840" w:type="dxa"/>
            <w:vAlign w:val="bottom"/>
            <w:tcBorders>
              <w:bottom w:val="single" w:sz="8" w:color="auto"/>
              <w:right w:val="single" w:sz="8" w:color="auto"/>
            </w:tcBorders>
          </w:tcPr>
          <w:p>
            <w:pPr>
              <w:spacing w:after="0"/>
              <w:rPr>
                <w:sz w:val="15"/>
                <w:szCs w:val="15"/>
                <w:color w:val="auto"/>
              </w:rPr>
            </w:pPr>
          </w:p>
        </w:tc>
        <w:tc>
          <w:tcPr>
            <w:tcW w:w="2840" w:type="dxa"/>
            <w:vAlign w:val="bottom"/>
            <w:tcBorders>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spacing w:after="0"/>
              <w:rPr>
                <w:sz w:val="15"/>
                <w:szCs w:val="15"/>
                <w:color w:val="auto"/>
              </w:rPr>
            </w:pPr>
          </w:p>
        </w:tc>
      </w:tr>
      <w:tr>
        <w:trPr>
          <w:trHeight w:val="213"/>
        </w:trPr>
        <w:tc>
          <w:tcPr>
            <w:tcW w:w="29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Third Premises E Rent Year</w:t>
            </w:r>
          </w:p>
        </w:tc>
        <w:tc>
          <w:tcPr>
            <w:tcW w:w="2840" w:type="dxa"/>
            <w:vAlign w:val="bottom"/>
            <w:tcBorders>
              <w:right w:val="single" w:sz="8" w:color="auto"/>
            </w:tcBorders>
          </w:tcPr>
          <w:p>
            <w:pPr>
              <w:jc w:val="right"/>
              <w:ind w:right="1832"/>
              <w:spacing w:after="0"/>
              <w:rPr>
                <w:sz w:val="20"/>
                <w:szCs w:val="20"/>
                <w:color w:val="auto"/>
              </w:rPr>
            </w:pPr>
            <w:r>
              <w:rPr>
                <w:rFonts w:ascii="Arial" w:cs="Arial" w:eastAsia="Arial" w:hAnsi="Arial"/>
                <w:sz w:val="18"/>
                <w:szCs w:val="18"/>
                <w:color w:val="auto"/>
                <w:w w:val="89"/>
              </w:rPr>
              <w:t>$748,066.00</w:t>
            </w:r>
          </w:p>
        </w:tc>
        <w:tc>
          <w:tcPr>
            <w:tcW w:w="2840" w:type="dxa"/>
            <w:vAlign w:val="bottom"/>
            <w:tcBorders>
              <w:right w:val="single" w:sz="8" w:color="auto"/>
            </w:tcBorders>
          </w:tcPr>
          <w:p>
            <w:pPr>
              <w:jc w:val="right"/>
              <w:ind w:right="1932"/>
              <w:spacing w:after="0"/>
              <w:rPr>
                <w:sz w:val="20"/>
                <w:szCs w:val="20"/>
                <w:color w:val="auto"/>
              </w:rPr>
            </w:pPr>
            <w:r>
              <w:rPr>
                <w:rFonts w:ascii="Arial" w:cs="Arial" w:eastAsia="Arial" w:hAnsi="Arial"/>
                <w:sz w:val="18"/>
                <w:szCs w:val="18"/>
                <w:color w:val="auto"/>
                <w:w w:val="88"/>
              </w:rPr>
              <w:t>$62,338.83</w:t>
            </w:r>
          </w:p>
        </w:tc>
        <w:tc>
          <w:tcPr>
            <w:tcW w:w="2860" w:type="dxa"/>
            <w:vAlign w:val="bottom"/>
            <w:tcBorders>
              <w:right w:val="single" w:sz="8" w:color="auto"/>
            </w:tcBorders>
          </w:tcPr>
          <w:p>
            <w:pPr>
              <w:jc w:val="right"/>
              <w:ind w:right="2232"/>
              <w:spacing w:after="0"/>
              <w:rPr>
                <w:sz w:val="20"/>
                <w:szCs w:val="20"/>
                <w:color w:val="auto"/>
              </w:rPr>
            </w:pPr>
            <w:r>
              <w:rPr>
                <w:rFonts w:ascii="Arial" w:cs="Arial" w:eastAsia="Arial" w:hAnsi="Arial"/>
                <w:sz w:val="18"/>
                <w:szCs w:val="18"/>
                <w:color w:val="auto"/>
                <w:w w:val="94"/>
              </w:rPr>
              <w:t>$74.00</w:t>
            </w:r>
          </w:p>
        </w:tc>
      </w:tr>
      <w:tr>
        <w:trPr>
          <w:trHeight w:val="173"/>
        </w:trPr>
        <w:tc>
          <w:tcPr>
            <w:tcW w:w="2920" w:type="dxa"/>
            <w:vAlign w:val="bottom"/>
            <w:tcBorders>
              <w:left w:val="single" w:sz="8" w:color="auto"/>
              <w:bottom w:val="single" w:sz="8" w:color="auto"/>
              <w:right w:val="single" w:sz="8" w:color="auto"/>
            </w:tcBorders>
          </w:tcPr>
          <w:p>
            <w:pPr>
              <w:spacing w:after="0"/>
              <w:rPr>
                <w:sz w:val="15"/>
                <w:szCs w:val="15"/>
                <w:color w:val="auto"/>
              </w:rPr>
            </w:pPr>
          </w:p>
        </w:tc>
        <w:tc>
          <w:tcPr>
            <w:tcW w:w="2840" w:type="dxa"/>
            <w:vAlign w:val="bottom"/>
            <w:tcBorders>
              <w:bottom w:val="single" w:sz="8" w:color="auto"/>
              <w:right w:val="single" w:sz="8" w:color="auto"/>
            </w:tcBorders>
          </w:tcPr>
          <w:p>
            <w:pPr>
              <w:spacing w:after="0"/>
              <w:rPr>
                <w:sz w:val="15"/>
                <w:szCs w:val="15"/>
                <w:color w:val="auto"/>
              </w:rPr>
            </w:pPr>
          </w:p>
        </w:tc>
        <w:tc>
          <w:tcPr>
            <w:tcW w:w="2840" w:type="dxa"/>
            <w:vAlign w:val="bottom"/>
            <w:tcBorders>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spacing w:after="0"/>
              <w:rPr>
                <w:sz w:val="15"/>
                <w:szCs w:val="15"/>
                <w:color w:val="auto"/>
              </w:rPr>
            </w:pPr>
          </w:p>
        </w:tc>
      </w:tr>
      <w:tr>
        <w:trPr>
          <w:trHeight w:val="213"/>
        </w:trPr>
        <w:tc>
          <w:tcPr>
            <w:tcW w:w="29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Fourth Premises E Rent Year</w:t>
            </w:r>
          </w:p>
        </w:tc>
        <w:tc>
          <w:tcPr>
            <w:tcW w:w="2840" w:type="dxa"/>
            <w:vAlign w:val="bottom"/>
            <w:tcBorders>
              <w:right w:val="single" w:sz="8" w:color="auto"/>
            </w:tcBorders>
          </w:tcPr>
          <w:p>
            <w:pPr>
              <w:jc w:val="right"/>
              <w:ind w:right="1832"/>
              <w:spacing w:after="0"/>
              <w:rPr>
                <w:sz w:val="20"/>
                <w:szCs w:val="20"/>
                <w:color w:val="auto"/>
              </w:rPr>
            </w:pPr>
            <w:r>
              <w:rPr>
                <w:rFonts w:ascii="Arial" w:cs="Arial" w:eastAsia="Arial" w:hAnsi="Arial"/>
                <w:sz w:val="18"/>
                <w:szCs w:val="18"/>
                <w:color w:val="auto"/>
                <w:w w:val="89"/>
              </w:rPr>
              <w:t>$758.175.00</w:t>
            </w:r>
          </w:p>
        </w:tc>
        <w:tc>
          <w:tcPr>
            <w:tcW w:w="2840" w:type="dxa"/>
            <w:vAlign w:val="bottom"/>
            <w:tcBorders>
              <w:right w:val="single" w:sz="8" w:color="auto"/>
            </w:tcBorders>
          </w:tcPr>
          <w:p>
            <w:pPr>
              <w:jc w:val="right"/>
              <w:ind w:right="1932"/>
              <w:spacing w:after="0"/>
              <w:rPr>
                <w:sz w:val="20"/>
                <w:szCs w:val="20"/>
                <w:color w:val="auto"/>
              </w:rPr>
            </w:pPr>
            <w:r>
              <w:rPr>
                <w:rFonts w:ascii="Arial" w:cs="Arial" w:eastAsia="Arial" w:hAnsi="Arial"/>
                <w:sz w:val="18"/>
                <w:szCs w:val="18"/>
                <w:color w:val="auto"/>
                <w:w w:val="88"/>
              </w:rPr>
              <w:t>$63,181.25</w:t>
            </w:r>
          </w:p>
        </w:tc>
        <w:tc>
          <w:tcPr>
            <w:tcW w:w="2860" w:type="dxa"/>
            <w:vAlign w:val="bottom"/>
            <w:tcBorders>
              <w:right w:val="single" w:sz="8" w:color="auto"/>
            </w:tcBorders>
          </w:tcPr>
          <w:p>
            <w:pPr>
              <w:jc w:val="right"/>
              <w:ind w:right="2232"/>
              <w:spacing w:after="0"/>
              <w:rPr>
                <w:sz w:val="20"/>
                <w:szCs w:val="20"/>
                <w:color w:val="auto"/>
              </w:rPr>
            </w:pPr>
            <w:r>
              <w:rPr>
                <w:rFonts w:ascii="Arial" w:cs="Arial" w:eastAsia="Arial" w:hAnsi="Arial"/>
                <w:sz w:val="18"/>
                <w:szCs w:val="18"/>
                <w:color w:val="auto"/>
                <w:w w:val="94"/>
              </w:rPr>
              <w:t>$75.00</w:t>
            </w:r>
          </w:p>
        </w:tc>
      </w:tr>
      <w:tr>
        <w:trPr>
          <w:trHeight w:val="183"/>
        </w:trPr>
        <w:tc>
          <w:tcPr>
            <w:tcW w:w="2920" w:type="dxa"/>
            <w:vAlign w:val="bottom"/>
            <w:tcBorders>
              <w:left w:val="single" w:sz="8" w:color="auto"/>
              <w:bottom w:val="single" w:sz="8" w:color="auto"/>
              <w:right w:val="single" w:sz="8" w:color="auto"/>
            </w:tcBorders>
          </w:tcPr>
          <w:p>
            <w:pPr>
              <w:spacing w:after="0"/>
              <w:rPr>
                <w:sz w:val="15"/>
                <w:szCs w:val="15"/>
                <w:color w:val="auto"/>
              </w:rPr>
            </w:pPr>
          </w:p>
        </w:tc>
        <w:tc>
          <w:tcPr>
            <w:tcW w:w="2840" w:type="dxa"/>
            <w:vAlign w:val="bottom"/>
            <w:tcBorders>
              <w:bottom w:val="single" w:sz="8" w:color="auto"/>
              <w:right w:val="single" w:sz="8" w:color="auto"/>
            </w:tcBorders>
          </w:tcPr>
          <w:p>
            <w:pPr>
              <w:spacing w:after="0"/>
              <w:rPr>
                <w:sz w:val="15"/>
                <w:szCs w:val="15"/>
                <w:color w:val="auto"/>
              </w:rPr>
            </w:pPr>
          </w:p>
        </w:tc>
        <w:tc>
          <w:tcPr>
            <w:tcW w:w="2840" w:type="dxa"/>
            <w:vAlign w:val="bottom"/>
            <w:tcBorders>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spacing w:after="0"/>
              <w:rPr>
                <w:sz w:val="15"/>
                <w:szCs w:val="15"/>
                <w:color w:val="auto"/>
              </w:rPr>
            </w:pPr>
          </w:p>
        </w:tc>
      </w:tr>
      <w:tr>
        <w:trPr>
          <w:trHeight w:val="213"/>
        </w:trPr>
        <w:tc>
          <w:tcPr>
            <w:tcW w:w="29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Fifth Premises E Rent Year</w:t>
            </w:r>
          </w:p>
        </w:tc>
        <w:tc>
          <w:tcPr>
            <w:tcW w:w="2840" w:type="dxa"/>
            <w:vAlign w:val="bottom"/>
            <w:tcBorders>
              <w:right w:val="single" w:sz="8" w:color="auto"/>
            </w:tcBorders>
          </w:tcPr>
          <w:p>
            <w:pPr>
              <w:jc w:val="right"/>
              <w:ind w:right="1832"/>
              <w:spacing w:after="0"/>
              <w:rPr>
                <w:sz w:val="20"/>
                <w:szCs w:val="20"/>
                <w:color w:val="auto"/>
              </w:rPr>
            </w:pPr>
            <w:r>
              <w:rPr>
                <w:rFonts w:ascii="Arial" w:cs="Arial" w:eastAsia="Arial" w:hAnsi="Arial"/>
                <w:sz w:val="18"/>
                <w:szCs w:val="18"/>
                <w:color w:val="auto"/>
                <w:w w:val="89"/>
              </w:rPr>
              <w:t>$768,284.00</w:t>
            </w:r>
          </w:p>
        </w:tc>
        <w:tc>
          <w:tcPr>
            <w:tcW w:w="2840" w:type="dxa"/>
            <w:vAlign w:val="bottom"/>
            <w:tcBorders>
              <w:right w:val="single" w:sz="8" w:color="auto"/>
            </w:tcBorders>
          </w:tcPr>
          <w:p>
            <w:pPr>
              <w:jc w:val="right"/>
              <w:ind w:right="1932"/>
              <w:spacing w:after="0"/>
              <w:rPr>
                <w:sz w:val="20"/>
                <w:szCs w:val="20"/>
                <w:color w:val="auto"/>
              </w:rPr>
            </w:pPr>
            <w:r>
              <w:rPr>
                <w:rFonts w:ascii="Arial" w:cs="Arial" w:eastAsia="Arial" w:hAnsi="Arial"/>
                <w:sz w:val="18"/>
                <w:szCs w:val="18"/>
                <w:color w:val="auto"/>
                <w:w w:val="88"/>
              </w:rPr>
              <w:t>$64,023.67</w:t>
            </w:r>
          </w:p>
        </w:tc>
        <w:tc>
          <w:tcPr>
            <w:tcW w:w="2860" w:type="dxa"/>
            <w:vAlign w:val="bottom"/>
            <w:tcBorders>
              <w:right w:val="single" w:sz="8" w:color="auto"/>
            </w:tcBorders>
          </w:tcPr>
          <w:p>
            <w:pPr>
              <w:jc w:val="right"/>
              <w:ind w:right="2232"/>
              <w:spacing w:after="0"/>
              <w:rPr>
                <w:sz w:val="20"/>
                <w:szCs w:val="20"/>
                <w:color w:val="auto"/>
              </w:rPr>
            </w:pPr>
            <w:r>
              <w:rPr>
                <w:rFonts w:ascii="Arial" w:cs="Arial" w:eastAsia="Arial" w:hAnsi="Arial"/>
                <w:sz w:val="18"/>
                <w:szCs w:val="18"/>
                <w:color w:val="auto"/>
                <w:w w:val="94"/>
              </w:rPr>
              <w:t>$76.00</w:t>
            </w:r>
          </w:p>
        </w:tc>
      </w:tr>
      <w:tr>
        <w:trPr>
          <w:trHeight w:val="173"/>
        </w:trPr>
        <w:tc>
          <w:tcPr>
            <w:tcW w:w="2920" w:type="dxa"/>
            <w:vAlign w:val="bottom"/>
            <w:tcBorders>
              <w:left w:val="single" w:sz="8" w:color="auto"/>
              <w:bottom w:val="single" w:sz="8" w:color="auto"/>
              <w:right w:val="single" w:sz="8" w:color="auto"/>
            </w:tcBorders>
          </w:tcPr>
          <w:p>
            <w:pPr>
              <w:spacing w:after="0"/>
              <w:rPr>
                <w:sz w:val="15"/>
                <w:szCs w:val="15"/>
                <w:color w:val="auto"/>
              </w:rPr>
            </w:pPr>
          </w:p>
        </w:tc>
        <w:tc>
          <w:tcPr>
            <w:tcW w:w="2840" w:type="dxa"/>
            <w:vAlign w:val="bottom"/>
            <w:tcBorders>
              <w:bottom w:val="single" w:sz="8" w:color="auto"/>
              <w:right w:val="single" w:sz="8" w:color="auto"/>
            </w:tcBorders>
          </w:tcPr>
          <w:p>
            <w:pPr>
              <w:spacing w:after="0"/>
              <w:rPr>
                <w:sz w:val="15"/>
                <w:szCs w:val="15"/>
                <w:color w:val="auto"/>
              </w:rPr>
            </w:pPr>
          </w:p>
        </w:tc>
        <w:tc>
          <w:tcPr>
            <w:tcW w:w="2840" w:type="dxa"/>
            <w:vAlign w:val="bottom"/>
            <w:tcBorders>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spacing w:after="0"/>
              <w:rPr>
                <w:sz w:val="15"/>
                <w:szCs w:val="15"/>
                <w:color w:val="auto"/>
              </w:rPr>
            </w:pPr>
          </w:p>
        </w:tc>
      </w:tr>
      <w:tr>
        <w:trPr>
          <w:trHeight w:val="213"/>
        </w:trPr>
        <w:tc>
          <w:tcPr>
            <w:tcW w:w="29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Sixth Premises E Rent Year</w:t>
            </w:r>
          </w:p>
        </w:tc>
        <w:tc>
          <w:tcPr>
            <w:tcW w:w="2840" w:type="dxa"/>
            <w:vAlign w:val="bottom"/>
            <w:tcBorders>
              <w:right w:val="single" w:sz="8" w:color="auto"/>
            </w:tcBorders>
          </w:tcPr>
          <w:p>
            <w:pPr>
              <w:jc w:val="right"/>
              <w:ind w:right="1832"/>
              <w:spacing w:after="0"/>
              <w:rPr>
                <w:sz w:val="20"/>
                <w:szCs w:val="20"/>
                <w:color w:val="auto"/>
              </w:rPr>
            </w:pPr>
            <w:r>
              <w:rPr>
                <w:rFonts w:ascii="Arial" w:cs="Arial" w:eastAsia="Arial" w:hAnsi="Arial"/>
                <w:sz w:val="18"/>
                <w:szCs w:val="18"/>
                <w:color w:val="auto"/>
                <w:w w:val="89"/>
              </w:rPr>
              <w:t>$778,393.00</w:t>
            </w:r>
          </w:p>
        </w:tc>
        <w:tc>
          <w:tcPr>
            <w:tcW w:w="2840" w:type="dxa"/>
            <w:vAlign w:val="bottom"/>
            <w:tcBorders>
              <w:right w:val="single" w:sz="8" w:color="auto"/>
            </w:tcBorders>
          </w:tcPr>
          <w:p>
            <w:pPr>
              <w:jc w:val="right"/>
              <w:ind w:right="1932"/>
              <w:spacing w:after="0"/>
              <w:rPr>
                <w:sz w:val="20"/>
                <w:szCs w:val="20"/>
                <w:color w:val="auto"/>
              </w:rPr>
            </w:pPr>
            <w:r>
              <w:rPr>
                <w:rFonts w:ascii="Arial" w:cs="Arial" w:eastAsia="Arial" w:hAnsi="Arial"/>
                <w:sz w:val="18"/>
                <w:szCs w:val="18"/>
                <w:color w:val="auto"/>
                <w:w w:val="88"/>
              </w:rPr>
              <w:t>$64,866.08</w:t>
            </w:r>
          </w:p>
        </w:tc>
        <w:tc>
          <w:tcPr>
            <w:tcW w:w="2860" w:type="dxa"/>
            <w:vAlign w:val="bottom"/>
            <w:tcBorders>
              <w:right w:val="single" w:sz="8" w:color="auto"/>
            </w:tcBorders>
          </w:tcPr>
          <w:p>
            <w:pPr>
              <w:jc w:val="right"/>
              <w:ind w:right="2232"/>
              <w:spacing w:after="0"/>
              <w:rPr>
                <w:sz w:val="20"/>
                <w:szCs w:val="20"/>
                <w:color w:val="auto"/>
              </w:rPr>
            </w:pPr>
            <w:r>
              <w:rPr>
                <w:rFonts w:ascii="Arial" w:cs="Arial" w:eastAsia="Arial" w:hAnsi="Arial"/>
                <w:sz w:val="18"/>
                <w:szCs w:val="18"/>
                <w:color w:val="auto"/>
                <w:w w:val="94"/>
              </w:rPr>
              <w:t>$77.00</w:t>
            </w:r>
          </w:p>
        </w:tc>
      </w:tr>
      <w:tr>
        <w:trPr>
          <w:trHeight w:val="173"/>
        </w:trPr>
        <w:tc>
          <w:tcPr>
            <w:tcW w:w="2920" w:type="dxa"/>
            <w:vAlign w:val="bottom"/>
            <w:tcBorders>
              <w:left w:val="single" w:sz="8" w:color="auto"/>
              <w:bottom w:val="single" w:sz="8" w:color="auto"/>
              <w:right w:val="single" w:sz="8" w:color="auto"/>
            </w:tcBorders>
          </w:tcPr>
          <w:p>
            <w:pPr>
              <w:spacing w:after="0"/>
              <w:rPr>
                <w:sz w:val="15"/>
                <w:szCs w:val="15"/>
                <w:color w:val="auto"/>
              </w:rPr>
            </w:pPr>
          </w:p>
        </w:tc>
        <w:tc>
          <w:tcPr>
            <w:tcW w:w="2840" w:type="dxa"/>
            <w:vAlign w:val="bottom"/>
            <w:tcBorders>
              <w:bottom w:val="single" w:sz="8" w:color="auto"/>
              <w:right w:val="single" w:sz="8" w:color="auto"/>
            </w:tcBorders>
          </w:tcPr>
          <w:p>
            <w:pPr>
              <w:spacing w:after="0"/>
              <w:rPr>
                <w:sz w:val="15"/>
                <w:szCs w:val="15"/>
                <w:color w:val="auto"/>
              </w:rPr>
            </w:pPr>
          </w:p>
        </w:tc>
        <w:tc>
          <w:tcPr>
            <w:tcW w:w="2840" w:type="dxa"/>
            <w:vAlign w:val="bottom"/>
            <w:tcBorders>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spacing w:after="0"/>
              <w:rPr>
                <w:sz w:val="15"/>
                <w:szCs w:val="15"/>
                <w:color w:val="auto"/>
              </w:rPr>
            </w:pPr>
          </w:p>
        </w:tc>
      </w:tr>
      <w:tr>
        <w:trPr>
          <w:trHeight w:val="213"/>
        </w:trPr>
        <w:tc>
          <w:tcPr>
            <w:tcW w:w="29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Seventh Premises E Rent Year</w:t>
            </w:r>
          </w:p>
        </w:tc>
        <w:tc>
          <w:tcPr>
            <w:tcW w:w="2840" w:type="dxa"/>
            <w:vAlign w:val="bottom"/>
            <w:tcBorders>
              <w:right w:val="single" w:sz="8" w:color="auto"/>
            </w:tcBorders>
          </w:tcPr>
          <w:p>
            <w:pPr>
              <w:jc w:val="right"/>
              <w:ind w:right="1832"/>
              <w:spacing w:after="0"/>
              <w:rPr>
                <w:sz w:val="20"/>
                <w:szCs w:val="20"/>
                <w:color w:val="auto"/>
              </w:rPr>
            </w:pPr>
            <w:r>
              <w:rPr>
                <w:rFonts w:ascii="Arial" w:cs="Arial" w:eastAsia="Arial" w:hAnsi="Arial"/>
                <w:sz w:val="18"/>
                <w:szCs w:val="18"/>
                <w:color w:val="auto"/>
                <w:w w:val="89"/>
              </w:rPr>
              <w:t>$788,502.00</w:t>
            </w:r>
          </w:p>
        </w:tc>
        <w:tc>
          <w:tcPr>
            <w:tcW w:w="2840" w:type="dxa"/>
            <w:vAlign w:val="bottom"/>
            <w:tcBorders>
              <w:right w:val="single" w:sz="8" w:color="auto"/>
            </w:tcBorders>
          </w:tcPr>
          <w:p>
            <w:pPr>
              <w:jc w:val="right"/>
              <w:ind w:right="1932"/>
              <w:spacing w:after="0"/>
              <w:rPr>
                <w:sz w:val="20"/>
                <w:szCs w:val="20"/>
                <w:color w:val="auto"/>
              </w:rPr>
            </w:pPr>
            <w:r>
              <w:rPr>
                <w:rFonts w:ascii="Arial" w:cs="Arial" w:eastAsia="Arial" w:hAnsi="Arial"/>
                <w:sz w:val="18"/>
                <w:szCs w:val="18"/>
                <w:color w:val="auto"/>
                <w:w w:val="88"/>
              </w:rPr>
              <w:t>$65,708.50</w:t>
            </w:r>
          </w:p>
        </w:tc>
        <w:tc>
          <w:tcPr>
            <w:tcW w:w="2860" w:type="dxa"/>
            <w:vAlign w:val="bottom"/>
            <w:tcBorders>
              <w:right w:val="single" w:sz="8" w:color="auto"/>
            </w:tcBorders>
          </w:tcPr>
          <w:p>
            <w:pPr>
              <w:jc w:val="right"/>
              <w:ind w:right="2232"/>
              <w:spacing w:after="0"/>
              <w:rPr>
                <w:sz w:val="20"/>
                <w:szCs w:val="20"/>
                <w:color w:val="auto"/>
              </w:rPr>
            </w:pPr>
            <w:r>
              <w:rPr>
                <w:rFonts w:ascii="Arial" w:cs="Arial" w:eastAsia="Arial" w:hAnsi="Arial"/>
                <w:sz w:val="18"/>
                <w:szCs w:val="18"/>
                <w:color w:val="auto"/>
                <w:w w:val="94"/>
              </w:rPr>
              <w:t>$78.00</w:t>
            </w:r>
          </w:p>
        </w:tc>
      </w:tr>
      <w:tr>
        <w:trPr>
          <w:trHeight w:val="173"/>
        </w:trPr>
        <w:tc>
          <w:tcPr>
            <w:tcW w:w="2920" w:type="dxa"/>
            <w:vAlign w:val="bottom"/>
            <w:tcBorders>
              <w:left w:val="single" w:sz="8" w:color="auto"/>
              <w:bottom w:val="single" w:sz="8" w:color="auto"/>
              <w:right w:val="single" w:sz="8" w:color="auto"/>
            </w:tcBorders>
          </w:tcPr>
          <w:p>
            <w:pPr>
              <w:spacing w:after="0"/>
              <w:rPr>
                <w:sz w:val="15"/>
                <w:szCs w:val="15"/>
                <w:color w:val="auto"/>
              </w:rPr>
            </w:pPr>
          </w:p>
        </w:tc>
        <w:tc>
          <w:tcPr>
            <w:tcW w:w="2840" w:type="dxa"/>
            <w:vAlign w:val="bottom"/>
            <w:tcBorders>
              <w:bottom w:val="single" w:sz="8" w:color="auto"/>
              <w:right w:val="single" w:sz="8" w:color="auto"/>
            </w:tcBorders>
          </w:tcPr>
          <w:p>
            <w:pPr>
              <w:spacing w:after="0"/>
              <w:rPr>
                <w:sz w:val="15"/>
                <w:szCs w:val="15"/>
                <w:color w:val="auto"/>
              </w:rPr>
            </w:pPr>
          </w:p>
        </w:tc>
        <w:tc>
          <w:tcPr>
            <w:tcW w:w="2840" w:type="dxa"/>
            <w:vAlign w:val="bottom"/>
            <w:tcBorders>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spacing w:after="0"/>
              <w:rPr>
                <w:sz w:val="15"/>
                <w:szCs w:val="15"/>
                <w:color w:val="auto"/>
              </w:rPr>
            </w:pPr>
          </w:p>
        </w:tc>
      </w:tr>
      <w:tr>
        <w:trPr>
          <w:trHeight w:val="213"/>
        </w:trPr>
        <w:tc>
          <w:tcPr>
            <w:tcW w:w="29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Eighth Premises E Rent Year</w:t>
            </w:r>
          </w:p>
        </w:tc>
        <w:tc>
          <w:tcPr>
            <w:tcW w:w="2840" w:type="dxa"/>
            <w:vAlign w:val="bottom"/>
            <w:tcBorders>
              <w:right w:val="single" w:sz="8" w:color="auto"/>
            </w:tcBorders>
          </w:tcPr>
          <w:p>
            <w:pPr>
              <w:jc w:val="right"/>
              <w:ind w:right="1852"/>
              <w:spacing w:after="0"/>
              <w:rPr>
                <w:sz w:val="20"/>
                <w:szCs w:val="20"/>
                <w:color w:val="auto"/>
              </w:rPr>
            </w:pPr>
            <w:r>
              <w:rPr>
                <w:rFonts w:ascii="Arial" w:cs="Arial" w:eastAsia="Arial" w:hAnsi="Arial"/>
                <w:sz w:val="18"/>
                <w:szCs w:val="18"/>
                <w:color w:val="auto"/>
                <w:w w:val="87"/>
              </w:rPr>
              <w:t>$798,611.00</w:t>
            </w:r>
          </w:p>
        </w:tc>
        <w:tc>
          <w:tcPr>
            <w:tcW w:w="2840" w:type="dxa"/>
            <w:vAlign w:val="bottom"/>
            <w:tcBorders>
              <w:right w:val="single" w:sz="8" w:color="auto"/>
            </w:tcBorders>
          </w:tcPr>
          <w:p>
            <w:pPr>
              <w:jc w:val="right"/>
              <w:ind w:right="1932"/>
              <w:spacing w:after="0"/>
              <w:rPr>
                <w:sz w:val="20"/>
                <w:szCs w:val="20"/>
                <w:color w:val="auto"/>
              </w:rPr>
            </w:pPr>
            <w:r>
              <w:rPr>
                <w:rFonts w:ascii="Arial" w:cs="Arial" w:eastAsia="Arial" w:hAnsi="Arial"/>
                <w:sz w:val="18"/>
                <w:szCs w:val="18"/>
                <w:color w:val="auto"/>
                <w:w w:val="88"/>
              </w:rPr>
              <w:t>$66,550.92</w:t>
            </w:r>
          </w:p>
        </w:tc>
        <w:tc>
          <w:tcPr>
            <w:tcW w:w="2860" w:type="dxa"/>
            <w:vAlign w:val="bottom"/>
            <w:tcBorders>
              <w:right w:val="single" w:sz="8" w:color="auto"/>
            </w:tcBorders>
          </w:tcPr>
          <w:p>
            <w:pPr>
              <w:jc w:val="right"/>
              <w:ind w:right="2232"/>
              <w:spacing w:after="0"/>
              <w:rPr>
                <w:sz w:val="20"/>
                <w:szCs w:val="20"/>
                <w:color w:val="auto"/>
              </w:rPr>
            </w:pPr>
            <w:r>
              <w:rPr>
                <w:rFonts w:ascii="Arial" w:cs="Arial" w:eastAsia="Arial" w:hAnsi="Arial"/>
                <w:sz w:val="18"/>
                <w:szCs w:val="18"/>
                <w:color w:val="auto"/>
                <w:w w:val="94"/>
              </w:rPr>
              <w:t>$79.00</w:t>
            </w:r>
          </w:p>
        </w:tc>
      </w:tr>
      <w:tr>
        <w:trPr>
          <w:trHeight w:val="173"/>
        </w:trPr>
        <w:tc>
          <w:tcPr>
            <w:tcW w:w="2920" w:type="dxa"/>
            <w:vAlign w:val="bottom"/>
            <w:tcBorders>
              <w:left w:val="single" w:sz="8" w:color="auto"/>
              <w:bottom w:val="single" w:sz="8" w:color="auto"/>
              <w:right w:val="single" w:sz="8" w:color="auto"/>
            </w:tcBorders>
          </w:tcPr>
          <w:p>
            <w:pPr>
              <w:spacing w:after="0"/>
              <w:rPr>
                <w:sz w:val="15"/>
                <w:szCs w:val="15"/>
                <w:color w:val="auto"/>
              </w:rPr>
            </w:pPr>
          </w:p>
        </w:tc>
        <w:tc>
          <w:tcPr>
            <w:tcW w:w="2840" w:type="dxa"/>
            <w:vAlign w:val="bottom"/>
            <w:tcBorders>
              <w:bottom w:val="single" w:sz="8" w:color="auto"/>
              <w:right w:val="single" w:sz="8" w:color="auto"/>
            </w:tcBorders>
          </w:tcPr>
          <w:p>
            <w:pPr>
              <w:spacing w:after="0"/>
              <w:rPr>
                <w:sz w:val="15"/>
                <w:szCs w:val="15"/>
                <w:color w:val="auto"/>
              </w:rPr>
            </w:pPr>
          </w:p>
        </w:tc>
        <w:tc>
          <w:tcPr>
            <w:tcW w:w="2840" w:type="dxa"/>
            <w:vAlign w:val="bottom"/>
            <w:tcBorders>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spacing w:after="0"/>
              <w:rPr>
                <w:sz w:val="15"/>
                <w:szCs w:val="15"/>
                <w:color w:val="auto"/>
              </w:rPr>
            </w:pPr>
          </w:p>
        </w:tc>
      </w:tr>
      <w:tr>
        <w:trPr>
          <w:trHeight w:val="213"/>
        </w:trPr>
        <w:tc>
          <w:tcPr>
            <w:tcW w:w="29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Ninth Premises E Rent Year</w:t>
            </w:r>
          </w:p>
        </w:tc>
        <w:tc>
          <w:tcPr>
            <w:tcW w:w="2840" w:type="dxa"/>
            <w:vAlign w:val="bottom"/>
            <w:tcBorders>
              <w:right w:val="single" w:sz="8" w:color="auto"/>
            </w:tcBorders>
          </w:tcPr>
          <w:p>
            <w:pPr>
              <w:jc w:val="right"/>
              <w:ind w:right="1832"/>
              <w:spacing w:after="0"/>
              <w:rPr>
                <w:sz w:val="20"/>
                <w:szCs w:val="20"/>
                <w:color w:val="auto"/>
              </w:rPr>
            </w:pPr>
            <w:r>
              <w:rPr>
                <w:rFonts w:ascii="Arial" w:cs="Arial" w:eastAsia="Arial" w:hAnsi="Arial"/>
                <w:sz w:val="18"/>
                <w:szCs w:val="18"/>
                <w:color w:val="auto"/>
                <w:w w:val="89"/>
              </w:rPr>
              <w:t>$808,720.00</w:t>
            </w:r>
          </w:p>
        </w:tc>
        <w:tc>
          <w:tcPr>
            <w:tcW w:w="2840" w:type="dxa"/>
            <w:vAlign w:val="bottom"/>
            <w:tcBorders>
              <w:right w:val="single" w:sz="8" w:color="auto"/>
            </w:tcBorders>
          </w:tcPr>
          <w:p>
            <w:pPr>
              <w:jc w:val="right"/>
              <w:ind w:right="1932"/>
              <w:spacing w:after="0"/>
              <w:rPr>
                <w:sz w:val="20"/>
                <w:szCs w:val="20"/>
                <w:color w:val="auto"/>
              </w:rPr>
            </w:pPr>
            <w:r>
              <w:rPr>
                <w:rFonts w:ascii="Arial" w:cs="Arial" w:eastAsia="Arial" w:hAnsi="Arial"/>
                <w:sz w:val="18"/>
                <w:szCs w:val="18"/>
                <w:color w:val="auto"/>
                <w:w w:val="88"/>
              </w:rPr>
              <w:t>$67,393.33</w:t>
            </w:r>
          </w:p>
        </w:tc>
        <w:tc>
          <w:tcPr>
            <w:tcW w:w="2860" w:type="dxa"/>
            <w:vAlign w:val="bottom"/>
            <w:tcBorders>
              <w:right w:val="single" w:sz="8" w:color="auto"/>
            </w:tcBorders>
          </w:tcPr>
          <w:p>
            <w:pPr>
              <w:jc w:val="right"/>
              <w:ind w:right="2232"/>
              <w:spacing w:after="0"/>
              <w:rPr>
                <w:sz w:val="20"/>
                <w:szCs w:val="20"/>
                <w:color w:val="auto"/>
              </w:rPr>
            </w:pPr>
            <w:r>
              <w:rPr>
                <w:rFonts w:ascii="Arial" w:cs="Arial" w:eastAsia="Arial" w:hAnsi="Arial"/>
                <w:sz w:val="18"/>
                <w:szCs w:val="18"/>
                <w:color w:val="auto"/>
                <w:w w:val="94"/>
              </w:rPr>
              <w:t>$80.00</w:t>
            </w:r>
          </w:p>
        </w:tc>
      </w:tr>
      <w:tr>
        <w:trPr>
          <w:trHeight w:val="173"/>
        </w:trPr>
        <w:tc>
          <w:tcPr>
            <w:tcW w:w="2920" w:type="dxa"/>
            <w:vAlign w:val="bottom"/>
            <w:tcBorders>
              <w:left w:val="single" w:sz="8" w:color="auto"/>
              <w:bottom w:val="single" w:sz="8" w:color="auto"/>
              <w:right w:val="single" w:sz="8" w:color="auto"/>
            </w:tcBorders>
          </w:tcPr>
          <w:p>
            <w:pPr>
              <w:spacing w:after="0"/>
              <w:rPr>
                <w:sz w:val="15"/>
                <w:szCs w:val="15"/>
                <w:color w:val="auto"/>
              </w:rPr>
            </w:pPr>
          </w:p>
        </w:tc>
        <w:tc>
          <w:tcPr>
            <w:tcW w:w="2840" w:type="dxa"/>
            <w:vAlign w:val="bottom"/>
            <w:tcBorders>
              <w:bottom w:val="single" w:sz="8" w:color="auto"/>
              <w:right w:val="single" w:sz="8" w:color="auto"/>
            </w:tcBorders>
          </w:tcPr>
          <w:p>
            <w:pPr>
              <w:spacing w:after="0"/>
              <w:rPr>
                <w:sz w:val="15"/>
                <w:szCs w:val="15"/>
                <w:color w:val="auto"/>
              </w:rPr>
            </w:pPr>
          </w:p>
        </w:tc>
        <w:tc>
          <w:tcPr>
            <w:tcW w:w="2840" w:type="dxa"/>
            <w:vAlign w:val="bottom"/>
            <w:tcBorders>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spacing w:after="0"/>
              <w:rPr>
                <w:sz w:val="15"/>
                <w:szCs w:val="15"/>
                <w:color w:val="auto"/>
              </w:rPr>
            </w:pPr>
          </w:p>
        </w:tc>
      </w:tr>
      <w:tr>
        <w:trPr>
          <w:trHeight w:val="213"/>
        </w:trPr>
        <w:tc>
          <w:tcPr>
            <w:tcW w:w="29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Tenth Premises E Rent Year</w:t>
            </w:r>
          </w:p>
        </w:tc>
        <w:tc>
          <w:tcPr>
            <w:tcW w:w="2840" w:type="dxa"/>
            <w:vAlign w:val="bottom"/>
            <w:tcBorders>
              <w:right w:val="single" w:sz="8" w:color="auto"/>
            </w:tcBorders>
          </w:tcPr>
          <w:p>
            <w:pPr>
              <w:jc w:val="right"/>
              <w:ind w:right="1832"/>
              <w:spacing w:after="0"/>
              <w:rPr>
                <w:sz w:val="20"/>
                <w:szCs w:val="20"/>
                <w:color w:val="auto"/>
              </w:rPr>
            </w:pPr>
            <w:r>
              <w:rPr>
                <w:rFonts w:ascii="Arial" w:cs="Arial" w:eastAsia="Arial" w:hAnsi="Arial"/>
                <w:sz w:val="18"/>
                <w:szCs w:val="18"/>
                <w:color w:val="auto"/>
                <w:w w:val="89"/>
              </w:rPr>
              <w:t>$818,829.00</w:t>
            </w:r>
          </w:p>
        </w:tc>
        <w:tc>
          <w:tcPr>
            <w:tcW w:w="2840" w:type="dxa"/>
            <w:vAlign w:val="bottom"/>
            <w:tcBorders>
              <w:right w:val="single" w:sz="8" w:color="auto"/>
            </w:tcBorders>
          </w:tcPr>
          <w:p>
            <w:pPr>
              <w:jc w:val="right"/>
              <w:ind w:right="1932"/>
              <w:spacing w:after="0"/>
              <w:rPr>
                <w:sz w:val="20"/>
                <w:szCs w:val="20"/>
                <w:color w:val="auto"/>
              </w:rPr>
            </w:pPr>
            <w:r>
              <w:rPr>
                <w:rFonts w:ascii="Arial" w:cs="Arial" w:eastAsia="Arial" w:hAnsi="Arial"/>
                <w:sz w:val="18"/>
                <w:szCs w:val="18"/>
                <w:color w:val="auto"/>
                <w:w w:val="88"/>
              </w:rPr>
              <w:t>$68,235.75</w:t>
            </w:r>
          </w:p>
        </w:tc>
        <w:tc>
          <w:tcPr>
            <w:tcW w:w="2860" w:type="dxa"/>
            <w:vAlign w:val="bottom"/>
            <w:tcBorders>
              <w:right w:val="single" w:sz="8" w:color="auto"/>
            </w:tcBorders>
          </w:tcPr>
          <w:p>
            <w:pPr>
              <w:jc w:val="right"/>
              <w:ind w:right="2232"/>
              <w:spacing w:after="0"/>
              <w:rPr>
                <w:sz w:val="20"/>
                <w:szCs w:val="20"/>
                <w:color w:val="auto"/>
              </w:rPr>
            </w:pPr>
            <w:r>
              <w:rPr>
                <w:rFonts w:ascii="Arial" w:cs="Arial" w:eastAsia="Arial" w:hAnsi="Arial"/>
                <w:sz w:val="18"/>
                <w:szCs w:val="18"/>
                <w:color w:val="auto"/>
                <w:w w:val="94"/>
              </w:rPr>
              <w:t>$81.00</w:t>
            </w:r>
          </w:p>
        </w:tc>
      </w:tr>
      <w:tr>
        <w:trPr>
          <w:trHeight w:val="183"/>
        </w:trPr>
        <w:tc>
          <w:tcPr>
            <w:tcW w:w="2920" w:type="dxa"/>
            <w:vAlign w:val="bottom"/>
            <w:tcBorders>
              <w:left w:val="single" w:sz="8" w:color="auto"/>
              <w:bottom w:val="single" w:sz="8" w:color="auto"/>
              <w:right w:val="single" w:sz="8" w:color="auto"/>
            </w:tcBorders>
          </w:tcPr>
          <w:p>
            <w:pPr>
              <w:spacing w:after="0"/>
              <w:rPr>
                <w:sz w:val="15"/>
                <w:szCs w:val="15"/>
                <w:color w:val="auto"/>
              </w:rPr>
            </w:pPr>
          </w:p>
        </w:tc>
        <w:tc>
          <w:tcPr>
            <w:tcW w:w="2840" w:type="dxa"/>
            <w:vAlign w:val="bottom"/>
            <w:tcBorders>
              <w:bottom w:val="single" w:sz="8" w:color="auto"/>
              <w:right w:val="single" w:sz="8" w:color="auto"/>
            </w:tcBorders>
          </w:tcPr>
          <w:p>
            <w:pPr>
              <w:spacing w:after="0"/>
              <w:rPr>
                <w:sz w:val="15"/>
                <w:szCs w:val="15"/>
                <w:color w:val="auto"/>
              </w:rPr>
            </w:pPr>
          </w:p>
        </w:tc>
        <w:tc>
          <w:tcPr>
            <w:tcW w:w="2840" w:type="dxa"/>
            <w:vAlign w:val="bottom"/>
            <w:tcBorders>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spacing w:after="0"/>
              <w:rPr>
                <w:sz w:val="15"/>
                <w:szCs w:val="15"/>
                <w:color w:val="auto"/>
              </w:rPr>
            </w:pPr>
          </w:p>
        </w:tc>
      </w:tr>
    </w:tbl>
    <w:p>
      <w:pPr>
        <w:spacing w:after="0" w:line="15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purposes of the Lease, the term “</w:t>
      </w:r>
      <w:r>
        <w:rPr>
          <w:rFonts w:ascii="Arial" w:cs="Arial" w:eastAsia="Arial" w:hAnsi="Arial"/>
          <w:sz w:val="18"/>
          <w:szCs w:val="18"/>
          <w:b w:val="1"/>
          <w:bCs w:val="1"/>
          <w:color w:val="auto"/>
        </w:rPr>
        <w:t>Premises E Rent Year</w:t>
      </w:r>
      <w:r>
        <w:rPr>
          <w:rFonts w:ascii="Arial" w:cs="Arial" w:eastAsia="Arial" w:hAnsi="Arial"/>
          <w:sz w:val="18"/>
          <w:szCs w:val="18"/>
          <w:color w:val="auto"/>
        </w:rPr>
        <w:t>” shall mean a twelve-month period beginning on the Premises E Rent Commencement Date or any anniversary of the Premises E Rent Commencement Date, except that if the Premises E Rent Commencement Date does not fall on the first day of a calendar month, then the first Premises E Rent Year shall begin on the Premises E Rent Commencement Date and end on the last day of the month containing the first anniversary of the Premises E Rent Commencement Date, and each succeeding Premises E Rent Year shall begin on the day following the last day of the prior Premises E Rent Year.</w:t>
      </w:r>
    </w:p>
    <w:p>
      <w:pPr>
        <w:spacing w:after="0" w:line="151" w:lineRule="exact"/>
        <w:rPr>
          <w:sz w:val="20"/>
          <w:szCs w:val="20"/>
          <w:color w:val="auto"/>
        </w:rPr>
      </w:pPr>
    </w:p>
    <w:p>
      <w:pPr>
        <w:jc w:val="both"/>
        <w:ind w:firstLine="8"/>
        <w:spacing w:after="0" w:line="236" w:lineRule="auto"/>
        <w:tabs>
          <w:tab w:leader="none" w:pos="658"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Tax Excess for Premises E.</w:t>
      </w:r>
      <w:r>
        <w:rPr>
          <w:rFonts w:ascii="Arial" w:cs="Arial" w:eastAsia="Arial" w:hAnsi="Arial"/>
          <w:sz w:val="18"/>
          <w:szCs w:val="18"/>
          <w:color w:val="auto"/>
        </w:rPr>
        <w:t xml:space="preserve"> The Tax Base with respect Premises E shall be the actual amount of Taxes for the fiscal year 2020 (i.e., July 1, 2019, through June 30, 2020). From and after July 1, 2020, Tenant shall pay to Landlord Tenant’s Premises E Proportionate Share (as hereinafter defined) of the amount by which Taxes in any Tax Period exceed the Tax Base with respect to Premises E, with such excess payable in accordance with the terms and conditions of the Lease. “</w:t>
      </w:r>
      <w:r>
        <w:rPr>
          <w:rFonts w:ascii="Arial" w:cs="Arial" w:eastAsia="Arial" w:hAnsi="Arial"/>
          <w:sz w:val="18"/>
          <w:szCs w:val="18"/>
          <w:b w:val="1"/>
          <w:bCs w:val="1"/>
          <w:color w:val="auto"/>
        </w:rPr>
        <w:t>Tenant’s Premises E Proportionate Share</w:t>
      </w:r>
      <w:r>
        <w:rPr>
          <w:rFonts w:ascii="Arial" w:cs="Arial" w:eastAsia="Arial" w:hAnsi="Arial"/>
          <w:sz w:val="18"/>
          <w:szCs w:val="18"/>
          <w:color w:val="auto"/>
        </w:rPr>
        <w:t>” shall be 9.96%.</w:t>
      </w:r>
    </w:p>
    <w:p>
      <w:pPr>
        <w:spacing w:after="0" w:line="151" w:lineRule="exact"/>
        <w:rPr>
          <w:rFonts w:ascii="Arial" w:cs="Arial" w:eastAsia="Arial" w:hAnsi="Arial"/>
          <w:sz w:val="18"/>
          <w:szCs w:val="18"/>
          <w:color w:val="auto"/>
        </w:rPr>
      </w:pPr>
    </w:p>
    <w:p>
      <w:pPr>
        <w:jc w:val="both"/>
        <w:ind w:firstLine="8"/>
        <w:spacing w:after="0" w:line="236" w:lineRule="auto"/>
        <w:tabs>
          <w:tab w:leader="none" w:pos="658"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Operating Excess for Premises E</w:t>
      </w:r>
      <w:r>
        <w:rPr>
          <w:rFonts w:ascii="Arial" w:cs="Arial" w:eastAsia="Arial" w:hAnsi="Arial"/>
          <w:sz w:val="18"/>
          <w:szCs w:val="18"/>
          <w:color w:val="auto"/>
        </w:rPr>
        <w:t>. The Operating Costs in the Base Year with respect to Premises E shall be the actual amount of Operating Costs for the calendar year 2019. From and after January 1, 2020, Tenant shall pay to Landlord Tenant’s Premises E Proportionate Share of the amount by which Operating Costs in any Operating Year exceed the Operating Costs in the Base Year with respect to Premises E, with such excess payable in accordance with the terms and conditions of the Lease.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311390" cy="393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60"/>
          </w:cols>
          <w:pgMar w:left="220" w:top="306" w:right="219" w:bottom="1440" w:gutter="0" w:footer="0" w:header="0"/>
        </w:sectPr>
      </w:pPr>
    </w:p>
    <w:bookmarkStart w:id="55" w:name="page56"/>
    <w:bookmarkEnd w:id="55"/>
    <w:p>
      <w:pPr>
        <w:jc w:val="both"/>
        <w:ind w:firstLine="8"/>
        <w:spacing w:after="0" w:line="274" w:lineRule="auto"/>
        <w:tabs>
          <w:tab w:leader="none" w:pos="658"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Extension of Term with Respect to the Existing Premises</w:t>
      </w:r>
      <w:r>
        <w:rPr>
          <w:rFonts w:ascii="Arial" w:cs="Arial" w:eastAsia="Arial" w:hAnsi="Arial"/>
          <w:sz w:val="16"/>
          <w:szCs w:val="16"/>
          <w:color w:val="auto"/>
        </w:rPr>
        <w:t>. Effective upon the Premises E Commencement Date: (a) the Term of the Lease with respect to the Existing Premises, shall be automatically extended for an additional period (the “</w:t>
      </w:r>
      <w:r>
        <w:rPr>
          <w:rFonts w:ascii="Arial" w:cs="Arial" w:eastAsia="Arial" w:hAnsi="Arial"/>
          <w:sz w:val="16"/>
          <w:szCs w:val="16"/>
          <w:b w:val="1"/>
          <w:bCs w:val="1"/>
          <w:color w:val="auto"/>
        </w:rPr>
        <w:t>Stub Term</w:t>
      </w:r>
      <w:r>
        <w:rPr>
          <w:rFonts w:ascii="Arial" w:cs="Arial" w:eastAsia="Arial" w:hAnsi="Arial"/>
          <w:sz w:val="16"/>
          <w:szCs w:val="16"/>
          <w:color w:val="auto"/>
        </w:rPr>
        <w:t>”) running coterminous with the Term of the Lease with respect to Premises E, expiring on the Premises E Expiration Date; (b) Yearly Rent with respect to the Existing Premises shall be paid during the Stub Term as more particularly set forth in the schedule below; and (c) all other terms and conditions of the Lease shall remain in full force and effect during the Stub Term.</w:t>
      </w:r>
    </w:p>
    <w:p>
      <w:pPr>
        <w:spacing w:after="0" w:line="122"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3000" w:type="dxa"/>
            <w:vAlign w:val="bottom"/>
            <w:tcBorders>
              <w:top w:val="single" w:sz="8" w:color="auto"/>
              <w:left w:val="single" w:sz="8" w:color="auto"/>
              <w:right w:val="single" w:sz="8" w:color="auto"/>
            </w:tcBorders>
            <w:shd w:val="clear" w:color="auto" w:fill="C0C0C0"/>
          </w:tcPr>
          <w:p>
            <w:pPr>
              <w:ind w:left="80"/>
              <w:spacing w:after="0" w:line="186" w:lineRule="exact"/>
              <w:rPr>
                <w:sz w:val="20"/>
                <w:szCs w:val="20"/>
                <w:color w:val="auto"/>
              </w:rPr>
            </w:pPr>
            <w:r>
              <w:rPr>
                <w:rFonts w:ascii="Arial" w:cs="Arial" w:eastAsia="Arial" w:hAnsi="Arial"/>
                <w:sz w:val="18"/>
                <w:szCs w:val="18"/>
                <w:b w:val="1"/>
                <w:bCs w:val="1"/>
                <w:color w:val="auto"/>
              </w:rPr>
              <w:t>Term for the Exiting Premises</w:t>
            </w:r>
          </w:p>
        </w:tc>
        <w:tc>
          <w:tcPr>
            <w:tcW w:w="2760" w:type="dxa"/>
            <w:vAlign w:val="bottom"/>
            <w:tcBorders>
              <w:top w:val="single" w:sz="8" w:color="auto"/>
              <w:right w:val="single" w:sz="8" w:color="auto"/>
            </w:tcBorders>
            <w:shd w:val="clear" w:color="auto" w:fill="C0C0C0"/>
          </w:tcPr>
          <w:p>
            <w:pPr>
              <w:ind w:left="40"/>
              <w:spacing w:after="0" w:line="186" w:lineRule="exact"/>
              <w:rPr>
                <w:sz w:val="20"/>
                <w:szCs w:val="20"/>
                <w:color w:val="auto"/>
              </w:rPr>
            </w:pPr>
            <w:r>
              <w:rPr>
                <w:rFonts w:ascii="Arial" w:cs="Arial" w:eastAsia="Arial" w:hAnsi="Arial"/>
                <w:sz w:val="18"/>
                <w:szCs w:val="18"/>
                <w:b w:val="1"/>
                <w:bCs w:val="1"/>
                <w:color w:val="auto"/>
              </w:rPr>
              <w:t>Yearly Rent</w:t>
            </w:r>
          </w:p>
        </w:tc>
        <w:tc>
          <w:tcPr>
            <w:tcW w:w="2840" w:type="dxa"/>
            <w:vAlign w:val="bottom"/>
            <w:tcBorders>
              <w:top w:val="single" w:sz="8" w:color="auto"/>
              <w:right w:val="single" w:sz="8" w:color="auto"/>
            </w:tcBorders>
            <w:shd w:val="clear" w:color="auto" w:fill="C0C0C0"/>
          </w:tcPr>
          <w:p>
            <w:pPr>
              <w:ind w:left="40"/>
              <w:spacing w:after="0" w:line="186" w:lineRule="exact"/>
              <w:rPr>
                <w:sz w:val="20"/>
                <w:szCs w:val="20"/>
                <w:color w:val="auto"/>
              </w:rPr>
            </w:pPr>
            <w:r>
              <w:rPr>
                <w:rFonts w:ascii="Arial" w:cs="Arial" w:eastAsia="Arial" w:hAnsi="Arial"/>
                <w:sz w:val="18"/>
                <w:szCs w:val="18"/>
                <w:b w:val="1"/>
                <w:bCs w:val="1"/>
                <w:color w:val="auto"/>
              </w:rPr>
              <w:t>Monthly Payment</w:t>
            </w:r>
          </w:p>
        </w:tc>
        <w:tc>
          <w:tcPr>
            <w:tcW w:w="2860" w:type="dxa"/>
            <w:vAlign w:val="bottom"/>
            <w:tcBorders>
              <w:top w:val="single" w:sz="8" w:color="auto"/>
              <w:right w:val="single" w:sz="8" w:color="auto"/>
            </w:tcBorders>
            <w:shd w:val="clear" w:color="auto" w:fill="C0C0C0"/>
          </w:tcPr>
          <w:p>
            <w:pPr>
              <w:ind w:left="40"/>
              <w:spacing w:after="0" w:line="186" w:lineRule="exact"/>
              <w:rPr>
                <w:sz w:val="20"/>
                <w:szCs w:val="20"/>
                <w:color w:val="auto"/>
              </w:rPr>
            </w:pPr>
            <w:r>
              <w:rPr>
                <w:rFonts w:ascii="Arial" w:cs="Arial" w:eastAsia="Arial" w:hAnsi="Arial"/>
                <w:sz w:val="18"/>
                <w:szCs w:val="18"/>
                <w:b w:val="1"/>
                <w:bCs w:val="1"/>
                <w:color w:val="auto"/>
              </w:rPr>
              <w:t>Per Rentable</w:t>
            </w:r>
          </w:p>
        </w:tc>
      </w:tr>
      <w:tr>
        <w:trPr>
          <w:trHeight w:val="197"/>
        </w:trPr>
        <w:tc>
          <w:tcPr>
            <w:tcW w:w="3000" w:type="dxa"/>
            <w:vAlign w:val="bottom"/>
            <w:tcBorders>
              <w:left w:val="single" w:sz="8" w:color="auto"/>
              <w:right w:val="single" w:sz="8" w:color="auto"/>
            </w:tcBorders>
            <w:shd w:val="clear" w:color="auto" w:fill="C0C0C0"/>
          </w:tcPr>
          <w:p>
            <w:pPr>
              <w:spacing w:after="0"/>
              <w:rPr>
                <w:sz w:val="17"/>
                <w:szCs w:val="17"/>
                <w:color w:val="auto"/>
              </w:rPr>
            </w:pPr>
          </w:p>
        </w:tc>
        <w:tc>
          <w:tcPr>
            <w:tcW w:w="2760" w:type="dxa"/>
            <w:vAlign w:val="bottom"/>
            <w:tcBorders>
              <w:right w:val="single" w:sz="8" w:color="auto"/>
            </w:tcBorders>
            <w:shd w:val="clear" w:color="auto" w:fill="C0C0C0"/>
          </w:tcPr>
          <w:p>
            <w:pPr>
              <w:spacing w:after="0"/>
              <w:rPr>
                <w:sz w:val="17"/>
                <w:szCs w:val="17"/>
                <w:color w:val="auto"/>
              </w:rPr>
            </w:pPr>
          </w:p>
        </w:tc>
        <w:tc>
          <w:tcPr>
            <w:tcW w:w="2840" w:type="dxa"/>
            <w:vAlign w:val="bottom"/>
            <w:tcBorders>
              <w:right w:val="single" w:sz="8" w:color="auto"/>
            </w:tcBorders>
            <w:shd w:val="clear" w:color="auto" w:fill="C0C0C0"/>
          </w:tcPr>
          <w:p>
            <w:pPr>
              <w:spacing w:after="0"/>
              <w:rPr>
                <w:sz w:val="17"/>
                <w:szCs w:val="17"/>
                <w:color w:val="auto"/>
              </w:rPr>
            </w:pPr>
          </w:p>
        </w:tc>
        <w:tc>
          <w:tcPr>
            <w:tcW w:w="2860" w:type="dxa"/>
            <w:vAlign w:val="bottom"/>
            <w:tcBorders>
              <w:right w:val="single" w:sz="8" w:color="auto"/>
            </w:tcBorders>
            <w:shd w:val="clear" w:color="auto" w:fill="C0C0C0"/>
          </w:tcPr>
          <w:p>
            <w:pPr>
              <w:ind w:left="40"/>
              <w:spacing w:after="0" w:line="197" w:lineRule="exact"/>
              <w:rPr>
                <w:sz w:val="20"/>
                <w:szCs w:val="20"/>
                <w:color w:val="auto"/>
              </w:rPr>
            </w:pPr>
            <w:r>
              <w:rPr>
                <w:rFonts w:ascii="Arial" w:cs="Arial" w:eastAsia="Arial" w:hAnsi="Arial"/>
                <w:sz w:val="18"/>
                <w:szCs w:val="18"/>
                <w:b w:val="1"/>
                <w:bCs w:val="1"/>
                <w:color w:val="auto"/>
              </w:rPr>
              <w:t>Square Foot of the</w:t>
            </w:r>
          </w:p>
        </w:tc>
      </w:tr>
      <w:tr>
        <w:trPr>
          <w:trHeight w:val="230"/>
        </w:trPr>
        <w:tc>
          <w:tcPr>
            <w:tcW w:w="3000" w:type="dxa"/>
            <w:vAlign w:val="bottom"/>
            <w:tcBorders>
              <w:left w:val="single" w:sz="8" w:color="auto"/>
              <w:bottom w:val="single" w:sz="8" w:color="auto"/>
              <w:right w:val="single" w:sz="8" w:color="auto"/>
            </w:tcBorders>
            <w:shd w:val="clear" w:color="auto" w:fill="C0C0C0"/>
          </w:tcPr>
          <w:p>
            <w:pPr>
              <w:spacing w:after="0"/>
              <w:rPr>
                <w:sz w:val="19"/>
                <w:szCs w:val="19"/>
                <w:color w:val="auto"/>
              </w:rPr>
            </w:pPr>
          </w:p>
        </w:tc>
        <w:tc>
          <w:tcPr>
            <w:tcW w:w="2760" w:type="dxa"/>
            <w:vAlign w:val="bottom"/>
            <w:tcBorders>
              <w:bottom w:val="single" w:sz="8" w:color="auto"/>
              <w:right w:val="single" w:sz="8" w:color="auto"/>
            </w:tcBorders>
            <w:shd w:val="clear" w:color="auto" w:fill="C0C0C0"/>
          </w:tcPr>
          <w:p>
            <w:pPr>
              <w:spacing w:after="0"/>
              <w:rPr>
                <w:sz w:val="19"/>
                <w:szCs w:val="19"/>
                <w:color w:val="auto"/>
              </w:rPr>
            </w:pPr>
          </w:p>
        </w:tc>
        <w:tc>
          <w:tcPr>
            <w:tcW w:w="2840" w:type="dxa"/>
            <w:vAlign w:val="bottom"/>
            <w:tcBorders>
              <w:bottom w:val="single" w:sz="8" w:color="auto"/>
              <w:right w:val="single" w:sz="8" w:color="auto"/>
            </w:tcBorders>
            <w:shd w:val="clear" w:color="auto" w:fill="C0C0C0"/>
          </w:tcPr>
          <w:p>
            <w:pPr>
              <w:spacing w:after="0"/>
              <w:rPr>
                <w:sz w:val="19"/>
                <w:szCs w:val="19"/>
                <w:color w:val="auto"/>
              </w:rPr>
            </w:pPr>
          </w:p>
        </w:tc>
        <w:tc>
          <w:tcPr>
            <w:tcW w:w="2860" w:type="dxa"/>
            <w:vAlign w:val="bottom"/>
            <w:tcBorders>
              <w:bottom w:val="single" w:sz="8" w:color="auto"/>
              <w:right w:val="single" w:sz="8" w:color="auto"/>
            </w:tcBorders>
            <w:shd w:val="clear" w:color="auto" w:fill="C0C0C0"/>
          </w:tcPr>
          <w:p>
            <w:pPr>
              <w:ind w:left="40"/>
              <w:spacing w:after="0"/>
              <w:rPr>
                <w:sz w:val="20"/>
                <w:szCs w:val="20"/>
                <w:color w:val="auto"/>
              </w:rPr>
            </w:pPr>
            <w:r>
              <w:rPr>
                <w:rFonts w:ascii="Arial" w:cs="Arial" w:eastAsia="Arial" w:hAnsi="Arial"/>
                <w:sz w:val="18"/>
                <w:szCs w:val="18"/>
                <w:b w:val="1"/>
                <w:bCs w:val="1"/>
                <w:color w:val="auto"/>
              </w:rPr>
              <w:t>Existing Premises</w:t>
            </w:r>
          </w:p>
        </w:tc>
      </w:tr>
      <w:tr>
        <w:trPr>
          <w:trHeight w:val="173"/>
        </w:trPr>
        <w:tc>
          <w:tcPr>
            <w:tcW w:w="3000" w:type="dxa"/>
            <w:vAlign w:val="bottom"/>
            <w:tcBorders>
              <w:left w:val="single" w:sz="8" w:color="auto"/>
              <w:right w:val="single" w:sz="8" w:color="auto"/>
            </w:tcBorders>
          </w:tcPr>
          <w:p>
            <w:pPr>
              <w:ind w:left="80"/>
              <w:spacing w:after="0" w:line="173" w:lineRule="exact"/>
              <w:rPr>
                <w:sz w:val="20"/>
                <w:szCs w:val="20"/>
                <w:color w:val="auto"/>
              </w:rPr>
            </w:pPr>
            <w:r>
              <w:rPr>
                <w:rFonts w:ascii="Arial" w:cs="Arial" w:eastAsia="Arial" w:hAnsi="Arial"/>
                <w:sz w:val="18"/>
                <w:szCs w:val="18"/>
                <w:color w:val="auto"/>
              </w:rPr>
              <w:t>From February 1,</w:t>
            </w:r>
          </w:p>
        </w:tc>
        <w:tc>
          <w:tcPr>
            <w:tcW w:w="2760" w:type="dxa"/>
            <w:vAlign w:val="bottom"/>
            <w:tcBorders>
              <w:right w:val="single" w:sz="8" w:color="auto"/>
            </w:tcBorders>
          </w:tcPr>
          <w:p>
            <w:pPr>
              <w:ind w:left="40"/>
              <w:spacing w:after="0" w:line="173" w:lineRule="exact"/>
              <w:rPr>
                <w:sz w:val="20"/>
                <w:szCs w:val="20"/>
                <w:color w:val="auto"/>
              </w:rPr>
            </w:pPr>
            <w:r>
              <w:rPr>
                <w:rFonts w:ascii="Arial" w:cs="Arial" w:eastAsia="Arial" w:hAnsi="Arial"/>
                <w:sz w:val="18"/>
                <w:szCs w:val="18"/>
                <w:color w:val="auto"/>
              </w:rPr>
              <w:t>$4,375,494.00</w:t>
            </w:r>
          </w:p>
        </w:tc>
        <w:tc>
          <w:tcPr>
            <w:tcW w:w="2840" w:type="dxa"/>
            <w:vAlign w:val="bottom"/>
            <w:tcBorders>
              <w:right w:val="single" w:sz="8" w:color="auto"/>
            </w:tcBorders>
          </w:tcPr>
          <w:p>
            <w:pPr>
              <w:ind w:left="40"/>
              <w:spacing w:after="0" w:line="173" w:lineRule="exact"/>
              <w:rPr>
                <w:sz w:val="20"/>
                <w:szCs w:val="20"/>
                <w:color w:val="auto"/>
              </w:rPr>
            </w:pPr>
            <w:r>
              <w:rPr>
                <w:rFonts w:ascii="Arial" w:cs="Arial" w:eastAsia="Arial" w:hAnsi="Arial"/>
                <w:sz w:val="18"/>
                <w:szCs w:val="18"/>
                <w:color w:val="auto"/>
              </w:rPr>
              <w:t>$364,624.50</w:t>
            </w:r>
          </w:p>
        </w:tc>
        <w:tc>
          <w:tcPr>
            <w:tcW w:w="2860" w:type="dxa"/>
            <w:vAlign w:val="bottom"/>
            <w:tcBorders>
              <w:right w:val="single" w:sz="8" w:color="auto"/>
            </w:tcBorders>
          </w:tcPr>
          <w:p>
            <w:pPr>
              <w:ind w:left="40"/>
              <w:spacing w:after="0" w:line="173" w:lineRule="exact"/>
              <w:rPr>
                <w:sz w:val="20"/>
                <w:szCs w:val="20"/>
                <w:color w:val="auto"/>
              </w:rPr>
            </w:pPr>
            <w:r>
              <w:rPr>
                <w:rFonts w:ascii="Arial" w:cs="Arial" w:eastAsia="Arial" w:hAnsi="Arial"/>
                <w:sz w:val="18"/>
                <w:szCs w:val="18"/>
                <w:color w:val="auto"/>
              </w:rPr>
              <w:t>$79.00</w:t>
            </w:r>
          </w:p>
        </w:tc>
      </w:tr>
      <w:tr>
        <w:trPr>
          <w:trHeight w:val="197"/>
        </w:trPr>
        <w:tc>
          <w:tcPr>
            <w:tcW w:w="3000" w:type="dxa"/>
            <w:vAlign w:val="bottom"/>
            <w:tcBorders>
              <w:left w:val="single" w:sz="8" w:color="auto"/>
              <w:right w:val="single" w:sz="8" w:color="auto"/>
            </w:tcBorders>
          </w:tcPr>
          <w:p>
            <w:pPr>
              <w:ind w:left="80"/>
              <w:spacing w:after="0" w:line="197" w:lineRule="exact"/>
              <w:rPr>
                <w:sz w:val="20"/>
                <w:szCs w:val="20"/>
                <w:color w:val="auto"/>
              </w:rPr>
            </w:pPr>
            <w:r>
              <w:rPr>
                <w:rFonts w:ascii="Arial" w:cs="Arial" w:eastAsia="Arial" w:hAnsi="Arial"/>
                <w:sz w:val="18"/>
                <w:szCs w:val="18"/>
                <w:color w:val="auto"/>
              </w:rPr>
              <w:t>2026</w:t>
            </w:r>
          </w:p>
        </w:tc>
        <w:tc>
          <w:tcPr>
            <w:tcW w:w="2760" w:type="dxa"/>
            <w:vAlign w:val="bottom"/>
            <w:tcBorders>
              <w:right w:val="single" w:sz="8" w:color="auto"/>
            </w:tcBorders>
          </w:tcPr>
          <w:p>
            <w:pPr>
              <w:spacing w:after="0"/>
              <w:rPr>
                <w:sz w:val="17"/>
                <w:szCs w:val="17"/>
                <w:color w:val="auto"/>
              </w:rPr>
            </w:pPr>
          </w:p>
        </w:tc>
        <w:tc>
          <w:tcPr>
            <w:tcW w:w="2840" w:type="dxa"/>
            <w:vAlign w:val="bottom"/>
            <w:tcBorders>
              <w:right w:val="single" w:sz="8" w:color="auto"/>
            </w:tcBorders>
          </w:tcPr>
          <w:p>
            <w:pPr>
              <w:spacing w:after="0"/>
              <w:rPr>
                <w:sz w:val="17"/>
                <w:szCs w:val="17"/>
                <w:color w:val="auto"/>
              </w:rPr>
            </w:pPr>
          </w:p>
        </w:tc>
        <w:tc>
          <w:tcPr>
            <w:tcW w:w="2860" w:type="dxa"/>
            <w:vAlign w:val="bottom"/>
            <w:tcBorders>
              <w:right w:val="single" w:sz="8" w:color="auto"/>
            </w:tcBorders>
          </w:tcPr>
          <w:p>
            <w:pPr>
              <w:spacing w:after="0"/>
              <w:rPr>
                <w:sz w:val="17"/>
                <w:szCs w:val="17"/>
                <w:color w:val="auto"/>
              </w:rPr>
            </w:pPr>
          </w:p>
        </w:tc>
      </w:tr>
      <w:tr>
        <w:trPr>
          <w:trHeight w:val="197"/>
        </w:trPr>
        <w:tc>
          <w:tcPr>
            <w:tcW w:w="3000" w:type="dxa"/>
            <w:vAlign w:val="bottom"/>
            <w:tcBorders>
              <w:left w:val="single" w:sz="8" w:color="auto"/>
              <w:right w:val="single" w:sz="8" w:color="auto"/>
            </w:tcBorders>
          </w:tcPr>
          <w:p>
            <w:pPr>
              <w:ind w:left="80"/>
              <w:spacing w:after="0" w:line="197" w:lineRule="exact"/>
              <w:rPr>
                <w:sz w:val="20"/>
                <w:szCs w:val="20"/>
                <w:color w:val="auto"/>
              </w:rPr>
            </w:pPr>
            <w:r>
              <w:rPr>
                <w:rFonts w:ascii="Arial" w:cs="Arial" w:eastAsia="Arial" w:hAnsi="Arial"/>
                <w:sz w:val="18"/>
                <w:szCs w:val="18"/>
                <w:color w:val="auto"/>
                <w:w w:val="97"/>
              </w:rPr>
              <w:t>through the expiration of the Seventh</w:t>
            </w:r>
          </w:p>
        </w:tc>
        <w:tc>
          <w:tcPr>
            <w:tcW w:w="2760" w:type="dxa"/>
            <w:vAlign w:val="bottom"/>
            <w:tcBorders>
              <w:right w:val="single" w:sz="8" w:color="auto"/>
            </w:tcBorders>
          </w:tcPr>
          <w:p>
            <w:pPr>
              <w:spacing w:after="0"/>
              <w:rPr>
                <w:sz w:val="17"/>
                <w:szCs w:val="17"/>
                <w:color w:val="auto"/>
              </w:rPr>
            </w:pPr>
          </w:p>
        </w:tc>
        <w:tc>
          <w:tcPr>
            <w:tcW w:w="2840" w:type="dxa"/>
            <w:vAlign w:val="bottom"/>
            <w:tcBorders>
              <w:right w:val="single" w:sz="8" w:color="auto"/>
            </w:tcBorders>
          </w:tcPr>
          <w:p>
            <w:pPr>
              <w:spacing w:after="0"/>
              <w:rPr>
                <w:sz w:val="17"/>
                <w:szCs w:val="17"/>
                <w:color w:val="auto"/>
              </w:rPr>
            </w:pPr>
          </w:p>
        </w:tc>
        <w:tc>
          <w:tcPr>
            <w:tcW w:w="2860" w:type="dxa"/>
            <w:vAlign w:val="bottom"/>
            <w:tcBorders>
              <w:right w:val="single" w:sz="8" w:color="auto"/>
            </w:tcBorders>
          </w:tcPr>
          <w:p>
            <w:pPr>
              <w:spacing w:after="0"/>
              <w:rPr>
                <w:sz w:val="17"/>
                <w:szCs w:val="17"/>
                <w:color w:val="auto"/>
              </w:rPr>
            </w:pPr>
          </w:p>
        </w:tc>
      </w:tr>
      <w:tr>
        <w:trPr>
          <w:trHeight w:val="222"/>
        </w:trPr>
        <w:tc>
          <w:tcPr>
            <w:tcW w:w="30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Premises E Rent Year</w:t>
            </w:r>
          </w:p>
        </w:tc>
        <w:tc>
          <w:tcPr>
            <w:tcW w:w="2760" w:type="dxa"/>
            <w:vAlign w:val="bottom"/>
            <w:tcBorders>
              <w:right w:val="single" w:sz="8" w:color="auto"/>
            </w:tcBorders>
          </w:tcPr>
          <w:p>
            <w:pPr>
              <w:spacing w:after="0"/>
              <w:rPr>
                <w:sz w:val="19"/>
                <w:szCs w:val="19"/>
                <w:color w:val="auto"/>
              </w:rPr>
            </w:pPr>
          </w:p>
        </w:tc>
        <w:tc>
          <w:tcPr>
            <w:tcW w:w="284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tcPr>
          <w:p>
            <w:pPr>
              <w:spacing w:after="0"/>
              <w:rPr>
                <w:sz w:val="19"/>
                <w:szCs w:val="19"/>
                <w:color w:val="auto"/>
              </w:rPr>
            </w:pPr>
          </w:p>
        </w:tc>
      </w:tr>
      <w:tr>
        <w:trPr>
          <w:trHeight w:val="211"/>
        </w:trPr>
        <w:tc>
          <w:tcPr>
            <w:tcW w:w="3000" w:type="dxa"/>
            <w:vAlign w:val="bottom"/>
            <w:tcBorders>
              <w:left w:val="single" w:sz="8" w:color="auto"/>
              <w:bottom w:val="single" w:sz="8" w:color="auto"/>
              <w:right w:val="single" w:sz="8" w:color="auto"/>
            </w:tcBorders>
          </w:tcPr>
          <w:p>
            <w:pPr>
              <w:spacing w:after="0"/>
              <w:rPr>
                <w:sz w:val="18"/>
                <w:szCs w:val="18"/>
                <w:color w:val="auto"/>
              </w:rPr>
            </w:pPr>
          </w:p>
        </w:tc>
        <w:tc>
          <w:tcPr>
            <w:tcW w:w="276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c>
          <w:tcPr>
            <w:tcW w:w="2860" w:type="dxa"/>
            <w:vAlign w:val="bottom"/>
            <w:tcBorders>
              <w:bottom w:val="single" w:sz="8" w:color="auto"/>
              <w:right w:val="single" w:sz="8" w:color="auto"/>
            </w:tcBorders>
          </w:tcPr>
          <w:p>
            <w:pPr>
              <w:spacing w:after="0"/>
              <w:rPr>
                <w:sz w:val="18"/>
                <w:szCs w:val="18"/>
                <w:color w:val="auto"/>
              </w:rPr>
            </w:pPr>
          </w:p>
        </w:tc>
      </w:tr>
      <w:tr>
        <w:trPr>
          <w:trHeight w:val="213"/>
        </w:trPr>
        <w:tc>
          <w:tcPr>
            <w:tcW w:w="30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Eighth Premises E Rent Year</w:t>
            </w:r>
          </w:p>
        </w:tc>
        <w:tc>
          <w:tcPr>
            <w:tcW w:w="27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$4,430,880.00</w:t>
            </w:r>
          </w:p>
        </w:tc>
        <w:tc>
          <w:tcPr>
            <w:tcW w:w="2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$369,240.00</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$80.00</w:t>
            </w:r>
          </w:p>
        </w:tc>
      </w:tr>
      <w:tr>
        <w:trPr>
          <w:trHeight w:val="173"/>
        </w:trPr>
        <w:tc>
          <w:tcPr>
            <w:tcW w:w="3000" w:type="dxa"/>
            <w:vAlign w:val="bottom"/>
            <w:tcBorders>
              <w:left w:val="single" w:sz="8" w:color="auto"/>
              <w:bottom w:val="single" w:sz="8" w:color="auto"/>
              <w:right w:val="single" w:sz="8" w:color="auto"/>
            </w:tcBorders>
          </w:tcPr>
          <w:p>
            <w:pPr>
              <w:spacing w:after="0"/>
              <w:rPr>
                <w:sz w:val="15"/>
                <w:szCs w:val="15"/>
                <w:color w:val="auto"/>
              </w:rPr>
            </w:pPr>
          </w:p>
        </w:tc>
        <w:tc>
          <w:tcPr>
            <w:tcW w:w="2760" w:type="dxa"/>
            <w:vAlign w:val="bottom"/>
            <w:tcBorders>
              <w:bottom w:val="single" w:sz="8" w:color="auto"/>
              <w:right w:val="single" w:sz="8" w:color="auto"/>
            </w:tcBorders>
          </w:tcPr>
          <w:p>
            <w:pPr>
              <w:spacing w:after="0"/>
              <w:rPr>
                <w:sz w:val="15"/>
                <w:szCs w:val="15"/>
                <w:color w:val="auto"/>
              </w:rPr>
            </w:pPr>
          </w:p>
        </w:tc>
        <w:tc>
          <w:tcPr>
            <w:tcW w:w="2840" w:type="dxa"/>
            <w:vAlign w:val="bottom"/>
            <w:tcBorders>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spacing w:after="0"/>
              <w:rPr>
                <w:sz w:val="15"/>
                <w:szCs w:val="15"/>
                <w:color w:val="auto"/>
              </w:rPr>
            </w:pPr>
          </w:p>
        </w:tc>
      </w:tr>
      <w:tr>
        <w:trPr>
          <w:trHeight w:val="213"/>
        </w:trPr>
        <w:tc>
          <w:tcPr>
            <w:tcW w:w="30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Ninth Premises E Rent Year</w:t>
            </w:r>
          </w:p>
        </w:tc>
        <w:tc>
          <w:tcPr>
            <w:tcW w:w="27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$4,486,266.00</w:t>
            </w:r>
          </w:p>
        </w:tc>
        <w:tc>
          <w:tcPr>
            <w:tcW w:w="2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$373,855.50</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$81.00</w:t>
            </w:r>
          </w:p>
        </w:tc>
      </w:tr>
      <w:tr>
        <w:trPr>
          <w:trHeight w:val="183"/>
        </w:trPr>
        <w:tc>
          <w:tcPr>
            <w:tcW w:w="3000" w:type="dxa"/>
            <w:vAlign w:val="bottom"/>
            <w:tcBorders>
              <w:left w:val="single" w:sz="8" w:color="auto"/>
              <w:bottom w:val="single" w:sz="8" w:color="auto"/>
              <w:right w:val="single" w:sz="8" w:color="auto"/>
            </w:tcBorders>
          </w:tcPr>
          <w:p>
            <w:pPr>
              <w:spacing w:after="0"/>
              <w:rPr>
                <w:sz w:val="15"/>
                <w:szCs w:val="15"/>
                <w:color w:val="auto"/>
              </w:rPr>
            </w:pPr>
          </w:p>
        </w:tc>
        <w:tc>
          <w:tcPr>
            <w:tcW w:w="2760" w:type="dxa"/>
            <w:vAlign w:val="bottom"/>
            <w:tcBorders>
              <w:bottom w:val="single" w:sz="8" w:color="auto"/>
              <w:right w:val="single" w:sz="8" w:color="auto"/>
            </w:tcBorders>
          </w:tcPr>
          <w:p>
            <w:pPr>
              <w:spacing w:after="0"/>
              <w:rPr>
                <w:sz w:val="15"/>
                <w:szCs w:val="15"/>
                <w:color w:val="auto"/>
              </w:rPr>
            </w:pPr>
          </w:p>
        </w:tc>
        <w:tc>
          <w:tcPr>
            <w:tcW w:w="2840" w:type="dxa"/>
            <w:vAlign w:val="bottom"/>
            <w:tcBorders>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spacing w:after="0"/>
              <w:rPr>
                <w:sz w:val="15"/>
                <w:szCs w:val="15"/>
                <w:color w:val="auto"/>
              </w:rPr>
            </w:pPr>
          </w:p>
        </w:tc>
      </w:tr>
      <w:tr>
        <w:trPr>
          <w:trHeight w:val="213"/>
        </w:trPr>
        <w:tc>
          <w:tcPr>
            <w:tcW w:w="30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Tenth Premises E Rent Year</w:t>
            </w:r>
          </w:p>
        </w:tc>
        <w:tc>
          <w:tcPr>
            <w:tcW w:w="27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$4,541,652.00</w:t>
            </w:r>
          </w:p>
        </w:tc>
        <w:tc>
          <w:tcPr>
            <w:tcW w:w="2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$378,471.00</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$82.00</w:t>
            </w:r>
          </w:p>
        </w:tc>
      </w:tr>
      <w:tr>
        <w:trPr>
          <w:trHeight w:val="173"/>
        </w:trPr>
        <w:tc>
          <w:tcPr>
            <w:tcW w:w="3000" w:type="dxa"/>
            <w:vAlign w:val="bottom"/>
            <w:tcBorders>
              <w:left w:val="single" w:sz="8" w:color="auto"/>
              <w:bottom w:val="single" w:sz="8" w:color="auto"/>
              <w:right w:val="single" w:sz="8" w:color="auto"/>
            </w:tcBorders>
          </w:tcPr>
          <w:p>
            <w:pPr>
              <w:spacing w:after="0"/>
              <w:rPr>
                <w:sz w:val="15"/>
                <w:szCs w:val="15"/>
                <w:color w:val="auto"/>
              </w:rPr>
            </w:pPr>
          </w:p>
        </w:tc>
        <w:tc>
          <w:tcPr>
            <w:tcW w:w="2760" w:type="dxa"/>
            <w:vAlign w:val="bottom"/>
            <w:tcBorders>
              <w:bottom w:val="single" w:sz="8" w:color="auto"/>
              <w:right w:val="single" w:sz="8" w:color="auto"/>
            </w:tcBorders>
          </w:tcPr>
          <w:p>
            <w:pPr>
              <w:spacing w:after="0"/>
              <w:rPr>
                <w:sz w:val="15"/>
                <w:szCs w:val="15"/>
                <w:color w:val="auto"/>
              </w:rPr>
            </w:pPr>
          </w:p>
        </w:tc>
        <w:tc>
          <w:tcPr>
            <w:tcW w:w="2840" w:type="dxa"/>
            <w:vAlign w:val="bottom"/>
            <w:tcBorders>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spacing w:after="0"/>
              <w:rPr>
                <w:sz w:val="15"/>
                <w:szCs w:val="15"/>
                <w:color w:val="auto"/>
              </w:rPr>
            </w:pPr>
          </w:p>
        </w:tc>
      </w:tr>
    </w:tbl>
    <w:p>
      <w:pPr>
        <w:spacing w:after="0" w:line="159" w:lineRule="exact"/>
        <w:rPr>
          <w:sz w:val="20"/>
          <w:szCs w:val="20"/>
          <w:color w:val="auto"/>
        </w:rPr>
      </w:pPr>
    </w:p>
    <w:p>
      <w:pPr>
        <w:jc w:val="both"/>
        <w:ind w:firstLine="8"/>
        <w:spacing w:after="0" w:line="282" w:lineRule="auto"/>
        <w:tabs>
          <w:tab w:leader="none" w:pos="658"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Amendment to Parking</w:t>
      </w:r>
      <w:r>
        <w:rPr>
          <w:rFonts w:ascii="Arial" w:cs="Arial" w:eastAsia="Arial" w:hAnsi="Arial"/>
          <w:sz w:val="16"/>
          <w:szCs w:val="16"/>
          <w:color w:val="auto"/>
        </w:rPr>
        <w:t>. Effective as of the Premises E Commencement Date, Tenant shall have the right to ten (10) additional Parking Passes under the Lease. The additional Parking Passes shall be subject to all of the terms and conditions of Section 30.12 of the Lease. Landlord’s representation set forth in Section 30.12 of the Lease shall be deemed restated by Landlord as of the Premises E Commencement Date.</w:t>
      </w:r>
    </w:p>
    <w:p>
      <w:pPr>
        <w:spacing w:after="0" w:line="119" w:lineRule="exact"/>
        <w:rPr>
          <w:rFonts w:ascii="Arial" w:cs="Arial" w:eastAsia="Arial" w:hAnsi="Arial"/>
          <w:sz w:val="16"/>
          <w:szCs w:val="16"/>
          <w:color w:val="auto"/>
        </w:rPr>
      </w:pPr>
    </w:p>
    <w:p>
      <w:pPr>
        <w:jc w:val="both"/>
        <w:ind w:firstLine="8"/>
        <w:spacing w:after="0" w:line="267" w:lineRule="auto"/>
        <w:tabs>
          <w:tab w:leader="none" w:pos="746"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Condition of Premises E</w:t>
      </w:r>
      <w:r>
        <w:rPr>
          <w:rFonts w:ascii="Arial" w:cs="Arial" w:eastAsia="Arial" w:hAnsi="Arial"/>
          <w:sz w:val="16"/>
          <w:szCs w:val="16"/>
          <w:color w:val="auto"/>
        </w:rPr>
        <w:t xml:space="preserve">. Except for Landlord’s obligation to: (a) deliver Premises E to Tenant lawfully demised and with egress that is compliant with applicable law; (b) Landlord’s obligation to deliver Premises E in accordance with Section 3.1 of this Second Amendment; and (c) provide the Additional Improvement Allowance as more particularly described on </w:t>
      </w:r>
      <w:r>
        <w:rPr>
          <w:rFonts w:ascii="Arial" w:cs="Arial" w:eastAsia="Arial" w:hAnsi="Arial"/>
          <w:sz w:val="16"/>
          <w:szCs w:val="16"/>
          <w:b w:val="1"/>
          <w:bCs w:val="1"/>
          <w:color w:val="auto"/>
        </w:rPr>
        <w:t>EXHIBIT “B”</w:t>
      </w:r>
      <w:r>
        <w:rPr>
          <w:rFonts w:ascii="Arial" w:cs="Arial" w:eastAsia="Arial" w:hAnsi="Arial"/>
          <w:sz w:val="16"/>
          <w:szCs w:val="16"/>
          <w:color w:val="auto"/>
        </w:rPr>
        <w:t xml:space="preserve"> attached hereto, Landlord shall not be obligated to make any improvements or contribute any allowances and Tenant shall take occupancy of the Premises E in its “as-is” condition as of the date of this Second Amendment. Notwithstanding the foregoing, (i) Landlord’s representation set forth in Section 2.2 of the Lease shall apply with respect to Premises E as of the Premises E Commencement Date, (ii) Section 3.1(c) of the Lease shall apply to Premises E, and (iii) Section 3.1(d) shall apply to Premises E.</w:t>
      </w:r>
    </w:p>
    <w:p>
      <w:pPr>
        <w:spacing w:after="0" w:line="132" w:lineRule="exact"/>
        <w:rPr>
          <w:rFonts w:ascii="Arial" w:cs="Arial" w:eastAsia="Arial" w:hAnsi="Arial"/>
          <w:sz w:val="16"/>
          <w:szCs w:val="16"/>
          <w:color w:val="auto"/>
        </w:rPr>
      </w:pPr>
    </w:p>
    <w:p>
      <w:pPr>
        <w:ind w:firstLine="8"/>
        <w:spacing w:after="0" w:line="246" w:lineRule="auto"/>
        <w:tabs>
          <w:tab w:leader="none" w:pos="739"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Tenant’s Extension Option</w:t>
      </w:r>
      <w:r>
        <w:rPr>
          <w:rFonts w:ascii="Arial" w:cs="Arial" w:eastAsia="Arial" w:hAnsi="Arial"/>
          <w:sz w:val="18"/>
          <w:szCs w:val="18"/>
          <w:color w:val="auto"/>
        </w:rPr>
        <w:t>. For purposes of confirmation herein, Tenant’s Extension Option under Section 30.16 (Tenant’s Option to Extend the Term of the Lease) shall be applicable to Premises 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311390" cy="393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60"/>
          </w:cols>
          <w:pgMar w:left="220" w:top="309" w:right="219" w:bottom="1440" w:gutter="0" w:footer="0" w:header="0"/>
        </w:sectPr>
      </w:pPr>
    </w:p>
    <w:bookmarkStart w:id="56" w:name="page57"/>
    <w:bookmarkEnd w:id="56"/>
    <w:p>
      <w:pPr>
        <w:jc w:val="both"/>
        <w:ind w:firstLine="8"/>
        <w:spacing w:after="0" w:line="274" w:lineRule="auto"/>
        <w:tabs>
          <w:tab w:leader="none" w:pos="746"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Frosted Signage for Privacy and Branding</w:t>
      </w:r>
      <w:r>
        <w:rPr>
          <w:rFonts w:ascii="Arial" w:cs="Arial" w:eastAsia="Arial" w:hAnsi="Arial"/>
          <w:sz w:val="16"/>
          <w:szCs w:val="16"/>
          <w:color w:val="auto"/>
        </w:rPr>
        <w:t>. Notwithstanding the terms and conditions of Section 18.4 of the Lease, and subject to: (i) all applicable laws; and (ii) Landlord’s prior written approval, which approval shall not be unreasonably withheld, conditioned or delayed, Tenant, at its sole cost and expense shall have the right to install professionally frosted vinyl graphics with Tenant’s branding for privacy and branding purposes on the windows of Premises E, which Tenant shall remove upon expiration or earlier termination of the Lease leaving the same in good, clean condition and repair.</w:t>
      </w:r>
    </w:p>
    <w:p>
      <w:pPr>
        <w:spacing w:after="0" w:line="125" w:lineRule="exact"/>
        <w:rPr>
          <w:rFonts w:ascii="Arial" w:cs="Arial" w:eastAsia="Arial" w:hAnsi="Arial"/>
          <w:sz w:val="16"/>
          <w:szCs w:val="16"/>
          <w:color w:val="auto"/>
        </w:rPr>
      </w:pPr>
    </w:p>
    <w:p>
      <w:pPr>
        <w:jc w:val="both"/>
        <w:ind w:firstLine="8"/>
        <w:spacing w:after="0" w:line="234" w:lineRule="auto"/>
        <w:tabs>
          <w:tab w:leader="none" w:pos="746"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Building Signage</w:t>
      </w:r>
      <w:r>
        <w:rPr>
          <w:rFonts w:ascii="Arial" w:cs="Arial" w:eastAsia="Arial" w:hAnsi="Arial"/>
          <w:sz w:val="18"/>
          <w:szCs w:val="18"/>
          <w:color w:val="auto"/>
        </w:rPr>
        <w:t>. Notwithstanding the terms and conditions of Section 18.4 of the Lease, and subject to: (i) all applicable laws; and (ii) Landlord’s prior written approval, which approval shall not be unreasonably withheld, conditioned or delayed, Tenant, at its sole cost and expense, shall have the right to install signage on the exterior of the Building (“</w:t>
      </w:r>
      <w:r>
        <w:rPr>
          <w:rFonts w:ascii="Arial" w:cs="Arial" w:eastAsia="Arial" w:hAnsi="Arial"/>
          <w:sz w:val="18"/>
          <w:szCs w:val="18"/>
          <w:b w:val="1"/>
          <w:bCs w:val="1"/>
          <w:color w:val="auto"/>
        </w:rPr>
        <w:t>Exterior Building Signage</w:t>
      </w:r>
      <w:r>
        <w:rPr>
          <w:rFonts w:ascii="Arial" w:cs="Arial" w:eastAsia="Arial" w:hAnsi="Arial"/>
          <w:sz w:val="18"/>
          <w:szCs w:val="18"/>
          <w:color w:val="auto"/>
        </w:rPr>
        <w:t>”), which Tenant shall remove upon expiration or earlier termination of the Lease, leaving the same in good, clean condition and repair. The size and location of the Exterior Building signage shall be mutually agreed upon by the parties, subject to the approval of the City of Cambridge.</w:t>
      </w:r>
    </w:p>
    <w:p>
      <w:pPr>
        <w:spacing w:after="0" w:line="153" w:lineRule="exact"/>
        <w:rPr>
          <w:rFonts w:ascii="Arial" w:cs="Arial" w:eastAsia="Arial" w:hAnsi="Arial"/>
          <w:sz w:val="18"/>
          <w:szCs w:val="18"/>
          <w:color w:val="auto"/>
        </w:rPr>
      </w:pPr>
    </w:p>
    <w:p>
      <w:pPr>
        <w:ind w:left="760" w:hanging="752"/>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Exterior Patio Space</w:t>
      </w:r>
      <w:r>
        <w:rPr>
          <w:rFonts w:ascii="Arial" w:cs="Arial" w:eastAsia="Arial" w:hAnsi="Arial"/>
          <w:sz w:val="18"/>
          <w:szCs w:val="18"/>
          <w:color w:val="auto"/>
        </w:rPr>
        <w:t>.</w:t>
      </w:r>
    </w:p>
    <w:p>
      <w:pPr>
        <w:spacing w:after="0" w:line="160" w:lineRule="exact"/>
        <w:rPr>
          <w:sz w:val="20"/>
          <w:szCs w:val="20"/>
          <w:color w:val="auto"/>
        </w:rPr>
      </w:pPr>
    </w:p>
    <w:p>
      <w:pPr>
        <w:ind w:left="880"/>
        <w:spacing w:after="0"/>
        <w:tabs>
          <w:tab w:leader="none" w:pos="170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 xml:space="preserve">Tenant shall have the exclusive right to use the patio area in the location as shown on </w:t>
      </w:r>
      <w:r>
        <w:rPr>
          <w:rFonts w:ascii="Arial" w:cs="Arial" w:eastAsia="Arial" w:hAnsi="Arial"/>
          <w:sz w:val="16"/>
          <w:szCs w:val="16"/>
          <w:b w:val="1"/>
          <w:bCs w:val="1"/>
          <w:color w:val="auto"/>
        </w:rPr>
        <w:t>EXHIBIT “C</w:t>
      </w:r>
      <w:r>
        <w:rPr>
          <w:rFonts w:ascii="Arial" w:cs="Arial" w:eastAsia="Arial" w:hAnsi="Arial"/>
          <w:sz w:val="16"/>
          <w:szCs w:val="16"/>
          <w:color w:val="auto"/>
        </w:rPr>
        <w:t>” attached hereto (the “</w:t>
      </w:r>
      <w:r>
        <w:rPr>
          <w:rFonts w:ascii="Arial" w:cs="Arial" w:eastAsia="Arial" w:hAnsi="Arial"/>
          <w:sz w:val="16"/>
          <w:szCs w:val="16"/>
          <w:b w:val="1"/>
          <w:bCs w:val="1"/>
          <w:color w:val="auto"/>
        </w:rPr>
        <w:t>Patio</w:t>
      </w:r>
      <w:r>
        <w:rPr>
          <w:rFonts w:ascii="Arial" w:cs="Arial" w:eastAsia="Arial" w:hAnsi="Arial"/>
          <w:sz w:val="16"/>
          <w:szCs w:val="16"/>
          <w:color w:val="auto"/>
        </w:rPr>
        <w:t>”),</w:t>
      </w:r>
    </w:p>
    <w:p>
      <w:pPr>
        <w:spacing w:after="0" w:line="10"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subject to: (A) Landlord’s reasonable rules and regulations with respect thereto in effect from time to time and to the terms and conditions set forth below; and (B) any applicable laws. Use of the Patio shall be without additional charge to Tenant, but Landlord may pass through to Tenant its actual costs incurred solely due to Tenant’s exclusive use of the Patio (such as excess cleaning costs, if applicable). Tenant shall have the right to section off the Patio, in a first-class manner and subject to Landlord’s reasonable approval, from the rest of the Building and to prevent other tenants in the Building from using the Patio during the Term. Tenant shall have the right to install electrical outlets in and run electrical service to the Patio subject to the provisions of Articles 12 and 13 of the Lease. Tenant will not be required to remove such electrical outlets at the end of the Term.</w:t>
      </w:r>
    </w:p>
    <w:p>
      <w:pPr>
        <w:spacing w:after="0" w:line="137" w:lineRule="exact"/>
        <w:rPr>
          <w:sz w:val="20"/>
          <w:szCs w:val="20"/>
          <w:color w:val="auto"/>
        </w:rPr>
      </w:pPr>
    </w:p>
    <w:p>
      <w:pPr>
        <w:jc w:val="both"/>
        <w:ind w:firstLine="881"/>
        <w:spacing w:after="0" w:line="264" w:lineRule="auto"/>
        <w:rPr>
          <w:sz w:val="20"/>
          <w:szCs w:val="20"/>
          <w:color w:val="auto"/>
        </w:rPr>
      </w:pPr>
      <w:r>
        <w:rPr>
          <w:rFonts w:ascii="Arial" w:cs="Arial" w:eastAsia="Arial" w:hAnsi="Arial"/>
          <w:sz w:val="16"/>
          <w:szCs w:val="16"/>
          <w:color w:val="auto"/>
        </w:rPr>
        <w:t>14.2 Tenant shall keep the Patio neat and free of trash, and Tenant shall be responsible for all non-structural maintenance and repairs to the Patio, except to the extent caused by or due to the negligence or willful misconduct of Landlord, its agents, servants or employees. Landlord shall have no obligation to provide any services to the Patio. To the extent applicable, all provisions of the Lease shall apply to Tenant’s use of the Patio, provided that Tenant shall not be required to pay Yearly Rent or additional rent on account of Operating Costs and Taxes with respect to the Patio and Landlord shall not be required to provide any services to the Patio. Tenant’s right granted herein to use the Patio is neither transferrable nor assignable except in connection with a permitted assignment of the Lease or permitted sublet of the Premises. In no event shall smoking be permitted on the Patio. In no event shall the square footage of the Patio be included in the Total Rentable Area of the Premises. Tenant may install heaters on the patio, provided, however, that such heaters must be removed by Tenant and stored by Tenant when such heaters are not in use.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311390" cy="393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60"/>
          </w:cols>
          <w:pgMar w:left="220" w:top="309" w:right="219" w:bottom="1440" w:gutter="0" w:footer="0" w:header="0"/>
        </w:sectPr>
      </w:pPr>
    </w:p>
    <w:bookmarkStart w:id="57" w:name="page58"/>
    <w:bookmarkEnd w:id="57"/>
    <w:p>
      <w:pPr>
        <w:jc w:val="both"/>
        <w:ind w:firstLine="881"/>
        <w:spacing w:after="0" w:line="238" w:lineRule="auto"/>
        <w:rPr>
          <w:sz w:val="20"/>
          <w:szCs w:val="20"/>
          <w:color w:val="auto"/>
        </w:rPr>
      </w:pPr>
      <w:r>
        <w:rPr>
          <w:rFonts w:ascii="Arial" w:cs="Arial" w:eastAsia="Arial" w:hAnsi="Arial"/>
          <w:sz w:val="18"/>
          <w:szCs w:val="18"/>
          <w:color w:val="auto"/>
        </w:rPr>
        <w:t>14.3 Tenant’s use of the Patio shall be upon all of the terms and conditions set forth in the Lease applicable to the Premises, except to the extent inconsistent with the terms of this Section 14 and except that the indemnity of Tenant under the Lease will not apply to the extent arising from the negligence or willful misconduct of Landlord or from Landlord’s failure to maintain the Patio in good condition and repair.</w:t>
      </w:r>
    </w:p>
    <w:p>
      <w:pPr>
        <w:spacing w:after="0" w:line="152" w:lineRule="exact"/>
        <w:rPr>
          <w:sz w:val="20"/>
          <w:szCs w:val="20"/>
          <w:color w:val="auto"/>
        </w:rPr>
      </w:pPr>
    </w:p>
    <w:p>
      <w:pPr>
        <w:jc w:val="both"/>
        <w:ind w:firstLine="881"/>
        <w:spacing w:after="0" w:line="238" w:lineRule="auto"/>
        <w:rPr>
          <w:sz w:val="20"/>
          <w:szCs w:val="20"/>
          <w:color w:val="auto"/>
        </w:rPr>
      </w:pPr>
      <w:r>
        <w:rPr>
          <w:rFonts w:ascii="Arial" w:cs="Arial" w:eastAsia="Arial" w:hAnsi="Arial"/>
          <w:sz w:val="18"/>
          <w:szCs w:val="18"/>
          <w:color w:val="auto"/>
        </w:rPr>
        <w:t>14.4 Tenant shall take the Patio “as-is”, in the condition in which the Patio is in as of the date hereof, without any obligation on the part of Landlord to provide any leasehold improvements to the Patio and without any representation or warranty by Landlord to Tenant as to the condition of the Patio but subject to Landlord’s ongoing repair and maintenance obligations for the Patio under the Lease.</w:t>
      </w:r>
    </w:p>
    <w:p>
      <w:pPr>
        <w:spacing w:after="0" w:line="146" w:lineRule="exact"/>
        <w:rPr>
          <w:sz w:val="20"/>
          <w:szCs w:val="20"/>
          <w:color w:val="auto"/>
        </w:rPr>
      </w:pPr>
    </w:p>
    <w:p>
      <w:pPr>
        <w:jc w:val="both"/>
        <w:ind w:firstLine="881"/>
        <w:spacing w:after="0" w:line="263" w:lineRule="auto"/>
        <w:rPr>
          <w:sz w:val="20"/>
          <w:szCs w:val="20"/>
          <w:color w:val="auto"/>
        </w:rPr>
      </w:pPr>
      <w:r>
        <w:rPr>
          <w:rFonts w:ascii="Arial" w:cs="Arial" w:eastAsia="Arial" w:hAnsi="Arial"/>
          <w:sz w:val="16"/>
          <w:szCs w:val="16"/>
          <w:color w:val="auto"/>
        </w:rPr>
        <w:t>14.5 Tenant may, at its sole cost and expense, place furniture (the “</w:t>
      </w:r>
      <w:r>
        <w:rPr>
          <w:rFonts w:ascii="Arial" w:cs="Arial" w:eastAsia="Arial" w:hAnsi="Arial"/>
          <w:sz w:val="16"/>
          <w:szCs w:val="16"/>
          <w:b w:val="1"/>
          <w:bCs w:val="1"/>
          <w:color w:val="auto"/>
        </w:rPr>
        <w:t>Furniture</w:t>
      </w:r>
      <w:r>
        <w:rPr>
          <w:rFonts w:ascii="Arial" w:cs="Arial" w:eastAsia="Arial" w:hAnsi="Arial"/>
          <w:sz w:val="16"/>
          <w:szCs w:val="16"/>
          <w:color w:val="auto"/>
        </w:rPr>
        <w:t>”), in the Patio, provided that (A) the Furniture is of a first-class standard of quality and appearance consistent with the design and construction of the Building; (B) the Furniture shall not be used or placed in the Patio until (1) its design, size, color and position are first approved by Landlord; (2) its method of attachment or installation is first approved by Landlord in writing, which approval may be withheld in Landlord’s reasonable discretion; (C) Tenant shall be solely responsible for stacking and securing the Furniture when not in use and for removing the Furniture from the Patio and storing the same within the Premises during the offseason, as determined by Tenant and reasonably approved by Landlord; and (D) Tenant shall be solely responsible for any destruction, damage, theft or vandalism of, or to, the Furniture. Tenant hereby covenants and agrees that Tenant shall not: (x) erect or place any canopy or other enclosure or covering on the Patio; or (y) permit any music or other similar sounds to be heard in the Patio without Landlord’s prior written approval, which shall not be unreasonably withheld, conditioned, or delayed. Tenant shall have the right to play music after business hours and during social events, provided that such music does not disturb or interfere with the rights of other tenants in the Building and provided that such music is not in violation of applicable City of Cambridge noise ordinance or materially interferes with other tenants’ use, occupancy or quiet enjoyment of the Premises.</w:t>
      </w:r>
    </w:p>
    <w:p>
      <w:pPr>
        <w:spacing w:after="0" w:line="337" w:lineRule="exact"/>
        <w:rPr>
          <w:sz w:val="20"/>
          <w:szCs w:val="20"/>
          <w:color w:val="auto"/>
        </w:rPr>
      </w:pPr>
    </w:p>
    <w:p>
      <w:pPr>
        <w:jc w:val="both"/>
        <w:ind w:firstLine="881"/>
        <w:spacing w:after="0" w:line="274" w:lineRule="auto"/>
        <w:rPr>
          <w:sz w:val="20"/>
          <w:szCs w:val="20"/>
          <w:color w:val="auto"/>
        </w:rPr>
      </w:pPr>
      <w:r>
        <w:rPr>
          <w:rFonts w:ascii="Arial" w:cs="Arial" w:eastAsia="Arial" w:hAnsi="Arial"/>
          <w:sz w:val="16"/>
          <w:szCs w:val="16"/>
          <w:color w:val="auto"/>
        </w:rPr>
        <w:t>14.6 Prior to the expiration of the Term of the Lease or within two (2) business days after earlier termination of the Lease, Tenant, at its sole cost and expense, shall remove the Furniture from the Patio and restore the Patio to its condition prior to Tenant’s use thereof, ordinary wear and tear and damage or loss by casualty or condemnation excepted. If Tenant fails to do so, then Landlord may remove the Furniture and restore the Patio, and Tenant shall reimburse Landlord for the cost of such removal and restoration within ten (10) business days of written demand therefor.</w:t>
      </w:r>
    </w:p>
    <w:p>
      <w:pPr>
        <w:spacing w:after="0" w:line="125" w:lineRule="exact"/>
        <w:rPr>
          <w:sz w:val="20"/>
          <w:szCs w:val="20"/>
          <w:color w:val="auto"/>
        </w:rPr>
      </w:pPr>
    </w:p>
    <w:p>
      <w:pPr>
        <w:jc w:val="both"/>
        <w:ind w:firstLine="881"/>
        <w:spacing w:after="0" w:line="238" w:lineRule="auto"/>
        <w:rPr>
          <w:sz w:val="20"/>
          <w:szCs w:val="20"/>
          <w:color w:val="auto"/>
        </w:rPr>
      </w:pPr>
      <w:r>
        <w:rPr>
          <w:rFonts w:ascii="Arial" w:cs="Arial" w:eastAsia="Arial" w:hAnsi="Arial"/>
          <w:sz w:val="18"/>
          <w:szCs w:val="18"/>
          <w:color w:val="auto"/>
        </w:rPr>
        <w:t>14.7 Notwithstanding any terms and conditions to the contrary, the rights of Tenant under this Section 14 are personal to Hubspot, Inc. and any Permitted Assignee (and any affiliates or permitted occupants), and may not be exercised by any other tenant, subtenant, licensee, or other occupant of the Premises or any portion thereof.</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311390" cy="393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60"/>
          </w:cols>
          <w:pgMar w:left="220" w:top="309" w:right="219" w:bottom="1440" w:gutter="0" w:footer="0" w:header="0"/>
        </w:sectPr>
      </w:pPr>
    </w:p>
    <w:bookmarkStart w:id="58" w:name="page59"/>
    <w:bookmarkEnd w:id="58"/>
    <w:p>
      <w:pPr>
        <w:ind w:left="760" w:hanging="752"/>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Emergency Generator</w:t>
      </w:r>
      <w:r>
        <w:rPr>
          <w:rFonts w:ascii="Arial" w:cs="Arial" w:eastAsia="Arial" w:hAnsi="Arial"/>
          <w:sz w:val="18"/>
          <w:szCs w:val="18"/>
          <w:color w:val="auto"/>
        </w:rPr>
        <w:t>.</w:t>
      </w:r>
    </w:p>
    <w:p>
      <w:pPr>
        <w:spacing w:after="0" w:line="166" w:lineRule="exact"/>
        <w:rPr>
          <w:sz w:val="20"/>
          <w:szCs w:val="20"/>
          <w:color w:val="auto"/>
        </w:rPr>
      </w:pPr>
    </w:p>
    <w:p>
      <w:pPr>
        <w:jc w:val="both"/>
        <w:ind w:firstLine="881"/>
        <w:spacing w:after="0" w:line="261" w:lineRule="auto"/>
        <w:rPr>
          <w:sz w:val="20"/>
          <w:szCs w:val="20"/>
          <w:color w:val="auto"/>
        </w:rPr>
      </w:pPr>
      <w:r>
        <w:rPr>
          <w:rFonts w:ascii="Arial" w:cs="Arial" w:eastAsia="Arial" w:hAnsi="Arial"/>
          <w:sz w:val="16"/>
          <w:szCs w:val="16"/>
          <w:color w:val="auto"/>
        </w:rPr>
        <w:t>15.1 Tenant, subject to Landlord’s review and approval of Tenant’s plans therefor, shall have the right to install a supplemental generator (the “</w:t>
      </w:r>
      <w:r>
        <w:rPr>
          <w:rFonts w:ascii="Arial" w:cs="Arial" w:eastAsia="Arial" w:hAnsi="Arial"/>
          <w:sz w:val="16"/>
          <w:szCs w:val="16"/>
          <w:b w:val="1"/>
          <w:bCs w:val="1"/>
          <w:color w:val="auto"/>
        </w:rPr>
        <w:t>Generator</w:t>
      </w:r>
      <w:r>
        <w:rPr>
          <w:rFonts w:ascii="Arial" w:cs="Arial" w:eastAsia="Arial" w:hAnsi="Arial"/>
          <w:sz w:val="16"/>
          <w:szCs w:val="16"/>
          <w:color w:val="auto"/>
        </w:rPr>
        <w:t>” which term shall include associated power and fuel lines), to provide emergency additional electrical capacity to the Premises during the Term, in an electrical capacity to be reasonably approved by Landlord. Tenant’s plans for the Generator shall include a secondary containment system to protect against and contain any release of hazardous materials. The Generator shall be placed in an area (the “Generator Area”) measuring approximately 20’ x 20’ to be designated by Landlord on the roof and, with respect to such associated power and fuel lines, in such conduits or other areas as Landlord shall reasonably designate. Notwithstanding the foregoing, Tenant's right to install the Generator shall be subject to Landlord's approval of the manner in which the Generator is installed, the manner in which any fuel pipe is installed, the manner in which any ventilation and exhaust systems are installed, the manner in which any cables are run to and from the Generator to the Premises and the measures that will be taken to eliminate any vibrations or sound disturbances from the operation of the Generator, including, without limitation, any necessary 2 hour rated enclosures or sound installation. Landlord shall have the right to require an acceptable enclosure to hide or disguise the existence of the Generator and to minimize any adverse effect that the installation of the Generator may have on the appearance of the Building and the Property. Tenant shall be solely responsible for obtaining all necessary governmental and regulatory approvals and for the cost of installing, operating, maintaining and removing the Generator. Tenant shall not install or operate the Generator until Tenant has obtained and submitted to Landlord copies of all required governmental permits, licenses and authorizations necessary for the installation and operation of the Generator. In addition to, and without limiting Tenant’s obligations under the Lease, Tenant shall comply with all applicable environmental and fire prevention Laws pertaining to Tenant’s use of the Generator Area. Tenant shall also be responsible for the cost of all utilities consumed in the operation of the Generator.</w:t>
      </w:r>
    </w:p>
    <w:p>
      <w:pPr>
        <w:spacing w:after="0" w:line="136" w:lineRule="exact"/>
        <w:rPr>
          <w:sz w:val="20"/>
          <w:szCs w:val="20"/>
          <w:color w:val="auto"/>
        </w:rPr>
      </w:pPr>
    </w:p>
    <w:p>
      <w:pPr>
        <w:jc w:val="both"/>
        <w:ind w:firstLine="881"/>
        <w:spacing w:after="0" w:line="263" w:lineRule="auto"/>
        <w:rPr>
          <w:sz w:val="20"/>
          <w:szCs w:val="20"/>
          <w:color w:val="auto"/>
        </w:rPr>
      </w:pPr>
      <w:r>
        <w:rPr>
          <w:rFonts w:ascii="Arial" w:cs="Arial" w:eastAsia="Arial" w:hAnsi="Arial"/>
          <w:sz w:val="16"/>
          <w:szCs w:val="16"/>
          <w:color w:val="auto"/>
        </w:rPr>
        <w:t>15.2 Tenant shall be responsible for assuring that the installation, maintenance, operation and removal of the Generator shall in no way damage any portion of the Building or the Generator Area. To the maximum extent permitted by law, the Generator and all appurtenances in the Generator Area shall be at the sole risk of Tenant, and, except in connection with Landlord’s gross negligence or willful misconduct, Landlord shall have no liability to Tenant if the Generator or any appurtenances installations are damaged for any reason. Subject to the waiver of subrogation provision of this Lease, Tenant agrees to be responsible for any damage caused to the Building or Property in connection with the installation, maintenance, operation or removal of the Generator and to indemnify, defend and hold Landlord harmless from all liabilities, obligations, damages, penalties, claims, costs, charges and expenses, including, without limitation, reasonable architects' and attorneys' fees (if and to the extent permitted by law), which may be imposed upon, incurred by, or asserted against Landlord in connection with the installation, maintenance, operation or removal of the Generator, including, without limitation, any environmental and hazardous materials claims. In addition to, and without limiting Tenant’s obligations under the Lease, Tenant covenants and agrees that the installation and use of the Generator and appurtenances shall not adversely affect the insurance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311390" cy="393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60"/>
          </w:cols>
          <w:pgMar w:left="220" w:top="309" w:right="219" w:bottom="1440" w:gutter="0" w:footer="0" w:header="0"/>
        </w:sectPr>
      </w:pPr>
    </w:p>
    <w:bookmarkStart w:id="59" w:name="page60"/>
    <w:bookmarkEnd w:id="59"/>
    <w:p>
      <w:pPr>
        <w:jc w:val="both"/>
        <w:spacing w:after="0" w:line="246" w:lineRule="auto"/>
        <w:rPr>
          <w:sz w:val="20"/>
          <w:szCs w:val="20"/>
          <w:color w:val="auto"/>
        </w:rPr>
      </w:pPr>
      <w:r>
        <w:rPr>
          <w:rFonts w:ascii="Arial" w:cs="Arial" w:eastAsia="Arial" w:hAnsi="Arial"/>
          <w:sz w:val="18"/>
          <w:szCs w:val="18"/>
          <w:color w:val="auto"/>
        </w:rPr>
        <w:t>coverage for the Building. If for any reason, the installation or use of the Generator and/or the appurtenances shall result in an increase in the amount of the premiums for such coverage, then Tenant shall be liable for the full amount of any such increase.</w:t>
      </w:r>
    </w:p>
    <w:p>
      <w:pPr>
        <w:spacing w:after="0" w:line="146" w:lineRule="exact"/>
        <w:rPr>
          <w:sz w:val="20"/>
          <w:szCs w:val="20"/>
          <w:color w:val="auto"/>
        </w:rPr>
      </w:pPr>
    </w:p>
    <w:p>
      <w:pPr>
        <w:jc w:val="both"/>
        <w:ind w:firstLine="881"/>
        <w:spacing w:after="0" w:line="262" w:lineRule="auto"/>
        <w:rPr>
          <w:sz w:val="20"/>
          <w:szCs w:val="20"/>
          <w:color w:val="auto"/>
        </w:rPr>
      </w:pPr>
      <w:r>
        <w:rPr>
          <w:rFonts w:ascii="Arial" w:cs="Arial" w:eastAsia="Arial" w:hAnsi="Arial"/>
          <w:sz w:val="16"/>
          <w:szCs w:val="16"/>
          <w:color w:val="auto"/>
        </w:rPr>
        <w:t>15.3 Tenant shall be responsible for the installation, operation, cleanliness, maintenance and removal of the Generator and the appurtenances, all of which shall remain the personal property of Tenant, and shall be removed by Tenant at its own expense at the expiration or earlier termination of the Lease. Tenant shall repair any damage caused by such removal, including the patching of any holes to match, as closely as possible, the color surrounding the area where the Generator and appurtenances were attached. Such maintenance and operation shall be performed in a manner to avoid any unreasonable interference with any other tenants or Landlord. Tenant shall take the Generator Area “as is” in the condition in which the Generator Area is in as of the date Tenant installs the Generator, without any obligation on the part of Landlord to prepare or construct the Generator Area for Tenant’s use or occupancy. Without limiting the foregoing, Landlord makes no warranties or representations to Tenant as to the suitability of the Generator Area for the installation and operation of the Generator. Tenant shall have no right to make any changes, alterations, additions, decorations or other improvements to the Generator Area without Landlord’s prior written consent in accordance with the standards for Alterations in this Lease. Tenant agrees to maintain the Generator, including without limitation, any enclosure installed around the Generator in good condition and repair. Tenant shall be responsible for performing any maintenance and improvements to any enclosure surrounding the Generator so as to keep such enclosure in good condition.</w:t>
      </w:r>
    </w:p>
    <w:p>
      <w:pPr>
        <w:spacing w:after="0" w:line="138" w:lineRule="exact"/>
        <w:rPr>
          <w:sz w:val="20"/>
          <w:szCs w:val="20"/>
          <w:color w:val="auto"/>
        </w:rPr>
      </w:pPr>
    </w:p>
    <w:p>
      <w:pPr>
        <w:jc w:val="both"/>
        <w:ind w:firstLine="881"/>
        <w:spacing w:after="0" w:line="246" w:lineRule="auto"/>
        <w:rPr>
          <w:sz w:val="20"/>
          <w:szCs w:val="20"/>
          <w:color w:val="auto"/>
        </w:rPr>
      </w:pPr>
      <w:r>
        <w:rPr>
          <w:rFonts w:ascii="Arial" w:cs="Arial" w:eastAsia="Arial" w:hAnsi="Arial"/>
          <w:sz w:val="18"/>
          <w:szCs w:val="18"/>
          <w:color w:val="auto"/>
        </w:rPr>
        <w:t>15.4 Tenant, upon prior notice to Landlord and subject to the rules and regulations enacted by Landlord, shall have access to the Generator and its surrounding area for the purpose of installing, repairing, maintaining and removing said Generator.</w:t>
      </w:r>
    </w:p>
    <w:p>
      <w:pPr>
        <w:spacing w:after="0" w:line="146" w:lineRule="exact"/>
        <w:rPr>
          <w:sz w:val="20"/>
          <w:szCs w:val="20"/>
          <w:color w:val="auto"/>
        </w:rPr>
      </w:pPr>
    </w:p>
    <w:p>
      <w:pPr>
        <w:jc w:val="both"/>
        <w:ind w:firstLine="881"/>
        <w:spacing w:after="0" w:line="282" w:lineRule="auto"/>
        <w:rPr>
          <w:sz w:val="20"/>
          <w:szCs w:val="20"/>
          <w:color w:val="auto"/>
        </w:rPr>
      </w:pPr>
      <w:r>
        <w:rPr>
          <w:rFonts w:ascii="Arial" w:cs="Arial" w:eastAsia="Arial" w:hAnsi="Arial"/>
          <w:sz w:val="16"/>
          <w:szCs w:val="16"/>
          <w:color w:val="auto"/>
        </w:rPr>
        <w:t>15.5 Tenant shall only test the Generator before or after Business Hours and at a time mutually agreed to in writing by Landlord and Tenant in advance. Tenant shall be permitted to use the Generator Area solely for the maintenance and operation of the Generator and the Generator and Generator Area are solely for the benefit of Tenant. All electricity generated by the Generator may only be consumed by Tenant in the Premises.</w:t>
      </w:r>
    </w:p>
    <w:p>
      <w:pPr>
        <w:spacing w:after="0" w:line="119" w:lineRule="exact"/>
        <w:rPr>
          <w:sz w:val="20"/>
          <w:szCs w:val="20"/>
          <w:color w:val="auto"/>
        </w:rPr>
      </w:pPr>
    </w:p>
    <w:p>
      <w:pPr>
        <w:ind w:left="880"/>
        <w:spacing w:after="0"/>
        <w:tabs>
          <w:tab w:leader="none" w:pos="170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6"/>
          <w:szCs w:val="16"/>
          <w:color w:val="auto"/>
        </w:rPr>
        <w:t>Landlord shall have no obligation to provide any services, including, without limitation, electric current, to the Generator Area.</w:t>
      </w:r>
    </w:p>
    <w:p>
      <w:pPr>
        <w:spacing w:after="0" w:line="166" w:lineRule="exact"/>
        <w:rPr>
          <w:sz w:val="20"/>
          <w:szCs w:val="20"/>
          <w:color w:val="auto"/>
        </w:rPr>
      </w:pPr>
    </w:p>
    <w:p>
      <w:pPr>
        <w:jc w:val="both"/>
        <w:ind w:firstLine="881"/>
        <w:spacing w:after="0" w:line="246" w:lineRule="auto"/>
        <w:rPr>
          <w:sz w:val="20"/>
          <w:szCs w:val="20"/>
          <w:color w:val="auto"/>
        </w:rPr>
      </w:pPr>
      <w:r>
        <w:rPr>
          <w:rFonts w:ascii="Arial" w:cs="Arial" w:eastAsia="Arial" w:hAnsi="Arial"/>
          <w:sz w:val="18"/>
          <w:szCs w:val="18"/>
          <w:color w:val="auto"/>
        </w:rPr>
        <w:t>15.7 Tenant shall have no right to sublet the Generator Area or to assign its interest in the Generator Area hereunder, unless such assignment or sublease is in connection with the assignment of Tenant’s interest under the Lease or a sublease of the Premises.</w:t>
      </w:r>
    </w:p>
    <w:p>
      <w:pPr>
        <w:spacing w:after="0" w:line="146" w:lineRule="exact"/>
        <w:rPr>
          <w:sz w:val="20"/>
          <w:szCs w:val="20"/>
          <w:color w:val="auto"/>
        </w:rPr>
      </w:pPr>
    </w:p>
    <w:p>
      <w:pPr>
        <w:jc w:val="both"/>
        <w:ind w:firstLine="8"/>
        <w:spacing w:after="0" w:line="238" w:lineRule="auto"/>
        <w:tabs>
          <w:tab w:leader="none" w:pos="739"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 Tenant represents to Landlord that Tenant has not dealt with any broker in connection with this Second Amendment other than CBRE/New England representing Landlord exclusively (“</w:t>
      </w:r>
      <w:r>
        <w:rPr>
          <w:rFonts w:ascii="Arial" w:cs="Arial" w:eastAsia="Arial" w:hAnsi="Arial"/>
          <w:sz w:val="18"/>
          <w:szCs w:val="18"/>
          <w:b w:val="1"/>
          <w:bCs w:val="1"/>
          <w:color w:val="auto"/>
        </w:rPr>
        <w:t>Landlord’s Broker</w:t>
      </w:r>
      <w:r>
        <w:rPr>
          <w:rFonts w:ascii="Arial" w:cs="Arial" w:eastAsia="Arial" w:hAnsi="Arial"/>
          <w:sz w:val="18"/>
          <w:szCs w:val="18"/>
          <w:color w:val="auto"/>
        </w:rPr>
        <w:t>”), and T3 Advisors, LLC, representing Tenant exclusively (“</w:t>
      </w:r>
      <w:r>
        <w:rPr>
          <w:rFonts w:ascii="Arial" w:cs="Arial" w:eastAsia="Arial" w:hAnsi="Arial"/>
          <w:sz w:val="18"/>
          <w:szCs w:val="18"/>
          <w:b w:val="1"/>
          <w:bCs w:val="1"/>
          <w:color w:val="auto"/>
        </w:rPr>
        <w:t>Tenant’s Broker</w:t>
      </w:r>
      <w:r>
        <w:rPr>
          <w:rFonts w:ascii="Arial" w:cs="Arial" w:eastAsia="Arial" w:hAnsi="Arial"/>
          <w:sz w:val="18"/>
          <w:szCs w:val="18"/>
          <w:color w:val="auto"/>
        </w:rPr>
        <w:t>”), and warrants that no other broker is or may be entitled to any commission in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311390" cy="393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60"/>
          </w:cols>
          <w:pgMar w:left="220" w:top="309" w:right="219" w:bottom="1440" w:gutter="0" w:footer="0" w:header="0"/>
        </w:sectPr>
      </w:pPr>
    </w:p>
    <w:bookmarkStart w:id="60" w:name="page61"/>
    <w:bookmarkEnd w:id="60"/>
    <w:p>
      <w:pPr>
        <w:jc w:val="both"/>
        <w:spacing w:after="0" w:line="265" w:lineRule="auto"/>
        <w:rPr>
          <w:sz w:val="20"/>
          <w:szCs w:val="20"/>
          <w:color w:val="auto"/>
        </w:rPr>
      </w:pPr>
      <w:r>
        <w:rPr>
          <w:rFonts w:ascii="Arial" w:cs="Arial" w:eastAsia="Arial" w:hAnsi="Arial"/>
          <w:sz w:val="16"/>
          <w:szCs w:val="16"/>
          <w:color w:val="auto"/>
        </w:rPr>
        <w:t>connection therewith. Tenant agrees to indemnify, defend and hold harmless Landlord and Landlord’s agents from all damages, liability and expense (including reasonable attorneys’ fees) arising from any claims or demands of any other brokers or finders for any commission alleged to be due such brokers or finders in connection with their participation in the negotiation with Tenant of this Second Amendment other than Landlord’s Broker and Tenant’s Broker. Landlord represents and warrants that, in connection with the execution and delivery of the Lease, it has not directly or indirectly dealt with any broker other than Landlord’s Broker and Tenant’s Broker. Landlord agrees to defend, exonerate and save harmless Tenant and anyone claiming by, through, or under Tenant against any claims arising in breach of the representation and warranty set forth in the immediately preceding sentence. Landlord shall pay any commissions due to Landlord’s Broker and Tenant’s Broker pursuant to a separate agreement between Landlord and Landlord’s Broker.</w:t>
      </w:r>
    </w:p>
    <w:p>
      <w:pPr>
        <w:spacing w:after="0" w:line="136" w:lineRule="exact"/>
        <w:rPr>
          <w:sz w:val="20"/>
          <w:szCs w:val="20"/>
          <w:color w:val="auto"/>
        </w:rPr>
      </w:pPr>
    </w:p>
    <w:p>
      <w:pPr>
        <w:jc w:val="both"/>
        <w:ind w:firstLine="8"/>
        <w:spacing w:after="0" w:line="282" w:lineRule="auto"/>
        <w:tabs>
          <w:tab w:leader="none" w:pos="746"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Counterparts and Authority</w:t>
      </w:r>
      <w:r>
        <w:rPr>
          <w:rFonts w:ascii="Arial" w:cs="Arial" w:eastAsia="Arial" w:hAnsi="Arial"/>
          <w:sz w:val="16"/>
          <w:szCs w:val="16"/>
          <w:color w:val="auto"/>
        </w:rPr>
        <w:t>. This Second Amendment may be executed in several counterparts, each of which shall be an original and all of which shall constitute but one and the same instrument. Landlord and Tenant each warrant to the other that the person or persons executing this Second Amendment on its behalf has or have authority to do so and that such execution has fully obligated and bound such party to all terms and provisions of this Second Amendment.</w:t>
      </w:r>
    </w:p>
    <w:p>
      <w:pPr>
        <w:spacing w:after="0" w:line="119" w:lineRule="exact"/>
        <w:rPr>
          <w:sz w:val="20"/>
          <w:szCs w:val="20"/>
          <w:color w:val="auto"/>
        </w:rPr>
      </w:pPr>
    </w:p>
    <w:p>
      <w:pPr>
        <w:jc w:val="both"/>
        <w:ind w:firstLine="8"/>
        <w:spacing w:after="0" w:line="282" w:lineRule="auto"/>
        <w:tabs>
          <w:tab w:leader="none" w:pos="746"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Confirmation of Lease</w:t>
      </w:r>
      <w:r>
        <w:rPr>
          <w:rFonts w:ascii="Arial" w:cs="Arial" w:eastAsia="Arial" w:hAnsi="Arial"/>
          <w:sz w:val="16"/>
          <w:szCs w:val="16"/>
          <w:color w:val="auto"/>
        </w:rPr>
        <w:t>. Except as amended by this Second Amendment, all terms and provisions of the Lease shall remain in full force and effect, and as further modified by this Second Amendment, is expressly ratified and confirmed by the parties hereto. This Second Amendment shall be binding upon and inure to the benefit of the parties hereto and their respective successors and assigns, subject to the provisions of the Lease regarding assignment and subletting.</w:t>
      </w:r>
    </w:p>
    <w:p>
      <w:pPr>
        <w:spacing w:after="0" w:line="119" w:lineRule="exact"/>
        <w:rPr>
          <w:rFonts w:ascii="Arial" w:cs="Arial" w:eastAsia="Arial" w:hAnsi="Arial"/>
          <w:sz w:val="16"/>
          <w:szCs w:val="16"/>
          <w:color w:val="auto"/>
        </w:rPr>
      </w:pPr>
    </w:p>
    <w:p>
      <w:pPr>
        <w:jc w:val="both"/>
        <w:ind w:firstLine="8"/>
        <w:spacing w:after="0" w:line="267" w:lineRule="auto"/>
        <w:tabs>
          <w:tab w:leader="none" w:pos="741"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Governing Law; Interpretation and Partial Invalidity</w:t>
      </w:r>
      <w:r>
        <w:rPr>
          <w:rFonts w:ascii="Arial" w:cs="Arial" w:eastAsia="Arial" w:hAnsi="Arial"/>
          <w:sz w:val="16"/>
          <w:szCs w:val="16"/>
          <w:color w:val="auto"/>
        </w:rPr>
        <w:t>. This Second Amendment shall be governed and construed in accordance with the laws of the Commonwealth of Massachusetts. If any term of this Second Amendment, or the application thereof to any person or circumstances, shall to any extent be invalid or unenforceable, the remainder of this Second Amendment, or the application of such term to persons or circumstances other than those as to which it is invalid or unenforceable, shall not be affected thereby, and each term of this Second Amendment shall be valid and enforceable to the fullest extent permitted by law. The titles for the paragraphs are for convenience only and are not to be considered in construing this Second Amendment. This Second Amendment contains all of the agreements of the parties with respect to the subject matter hereof, and supersedes all prior dealings between them with respect to such subject matter.</w:t>
      </w:r>
    </w:p>
    <w:p>
      <w:pPr>
        <w:spacing w:after="0" w:line="132" w:lineRule="exact"/>
        <w:rPr>
          <w:rFonts w:ascii="Arial" w:cs="Arial" w:eastAsia="Arial" w:hAnsi="Arial"/>
          <w:sz w:val="16"/>
          <w:szCs w:val="16"/>
          <w:color w:val="auto"/>
        </w:rPr>
      </w:pPr>
    </w:p>
    <w:p>
      <w:pPr>
        <w:ind w:firstLine="8"/>
        <w:spacing w:after="0" w:line="246" w:lineRule="auto"/>
        <w:tabs>
          <w:tab w:leader="none" w:pos="746"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Binding Agreement</w:t>
      </w:r>
      <w:r>
        <w:rPr>
          <w:rFonts w:ascii="Arial" w:cs="Arial" w:eastAsia="Arial" w:hAnsi="Arial"/>
          <w:sz w:val="18"/>
          <w:szCs w:val="18"/>
          <w:color w:val="auto"/>
        </w:rPr>
        <w:t>. This document shall become effective and binding only upon the execution and delivery of this Second Amendment by both Landlord and Tenant.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FOLLOW]</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311390" cy="39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60"/>
          </w:cols>
          <w:pgMar w:left="220" w:top="309" w:right="219" w:bottom="1440" w:gutter="0" w:footer="0" w:header="0"/>
        </w:sectPr>
      </w:pPr>
    </w:p>
    <w:bookmarkStart w:id="61" w:name="page62"/>
    <w:bookmarkEnd w:id="61"/>
    <w:p>
      <w:pPr>
        <w:spacing w:after="0"/>
        <w:rPr>
          <w:sz w:val="20"/>
          <w:szCs w:val="20"/>
          <w:color w:val="auto"/>
        </w:rPr>
      </w:pPr>
      <w:r>
        <w:rPr>
          <w:rFonts w:ascii="Arial" w:cs="Arial" w:eastAsia="Arial" w:hAnsi="Arial"/>
          <w:sz w:val="15"/>
          <w:szCs w:val="15"/>
          <w:color w:val="auto"/>
        </w:rPr>
        <w:t>IN WITNESS WHEREOF, Landlord and Tenant have caused this Second Amendment to be executed as of the Effective Date.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ONE CANAL PARK MASSACHUSETTS, LLC</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tcPr>
          <w:p>
            <w:pPr>
              <w:ind w:left="20"/>
              <w:spacing w:after="0"/>
              <w:rPr>
                <w:sz w:val="20"/>
                <w:szCs w:val="20"/>
                <w:color w:val="auto"/>
              </w:rPr>
            </w:pPr>
            <w:r>
              <w:rPr>
                <w:rFonts w:ascii="Arial" w:cs="Arial" w:eastAsia="Arial" w:hAnsi="Arial"/>
                <w:sz w:val="18"/>
                <w:szCs w:val="18"/>
                <w:color w:val="auto"/>
              </w:rPr>
              <w:t>By:</w:t>
            </w:r>
          </w:p>
        </w:tc>
        <w:tc>
          <w:tcPr>
            <w:tcW w:w="5100" w:type="dxa"/>
            <w:vAlign w:val="bottom"/>
            <w:gridSpan w:val="2"/>
          </w:tcPr>
          <w:p>
            <w:pPr>
              <w:ind w:left="260"/>
              <w:spacing w:after="0"/>
              <w:rPr>
                <w:sz w:val="20"/>
                <w:szCs w:val="20"/>
                <w:color w:val="auto"/>
              </w:rPr>
            </w:pPr>
            <w:r>
              <w:rPr>
                <w:rFonts w:ascii="Arial" w:cs="Arial" w:eastAsia="Arial" w:hAnsi="Arial"/>
                <w:sz w:val="18"/>
                <w:szCs w:val="18"/>
                <w:b w:val="1"/>
                <w:bCs w:val="1"/>
                <w:color w:val="auto"/>
              </w:rPr>
              <w:t>BAY STATE REIT, LLC</w:t>
            </w:r>
          </w:p>
        </w:tc>
      </w:tr>
      <w:tr>
        <w:trPr>
          <w:trHeight w:val="222"/>
        </w:trPr>
        <w:tc>
          <w:tcPr>
            <w:tcW w:w="640" w:type="dxa"/>
            <w:vAlign w:val="bottom"/>
          </w:tcPr>
          <w:p>
            <w:pPr>
              <w:spacing w:after="0"/>
              <w:rPr>
                <w:sz w:val="19"/>
                <w:szCs w:val="19"/>
                <w:color w:val="auto"/>
              </w:rPr>
            </w:pPr>
          </w:p>
        </w:tc>
        <w:tc>
          <w:tcPr>
            <w:tcW w:w="5100" w:type="dxa"/>
            <w:vAlign w:val="bottom"/>
            <w:gridSpan w:val="2"/>
          </w:tcPr>
          <w:p>
            <w:pPr>
              <w:ind w:left="160"/>
              <w:spacing w:after="0"/>
              <w:rPr>
                <w:sz w:val="20"/>
                <w:szCs w:val="20"/>
                <w:color w:val="auto"/>
              </w:rPr>
            </w:pPr>
            <w:r>
              <w:rPr>
                <w:rFonts w:ascii="Arial" w:cs="Arial" w:eastAsia="Arial" w:hAnsi="Arial"/>
                <w:sz w:val="18"/>
                <w:szCs w:val="18"/>
                <w:color w:val="auto"/>
              </w:rPr>
              <w:t>a Delaware limited liability company, its Manager</w:t>
            </w:r>
          </w:p>
        </w:tc>
      </w:tr>
      <w:tr>
        <w:trPr>
          <w:trHeight w:val="359"/>
        </w:trPr>
        <w:tc>
          <w:tcPr>
            <w:tcW w:w="640" w:type="dxa"/>
            <w:vAlign w:val="bottom"/>
          </w:tcPr>
          <w:p>
            <w:pPr>
              <w:ind w:left="20"/>
              <w:spacing w:after="0"/>
              <w:rPr>
                <w:sz w:val="20"/>
                <w:szCs w:val="20"/>
                <w:color w:val="auto"/>
              </w:rPr>
            </w:pPr>
            <w:r>
              <w:rPr>
                <w:rFonts w:ascii="Arial" w:cs="Arial" w:eastAsia="Arial" w:hAnsi="Arial"/>
                <w:sz w:val="18"/>
                <w:szCs w:val="18"/>
                <w:color w:val="auto"/>
              </w:rPr>
              <w:t>By:</w:t>
            </w:r>
          </w:p>
        </w:tc>
        <w:tc>
          <w:tcPr>
            <w:tcW w:w="5100" w:type="dxa"/>
            <w:vAlign w:val="bottom"/>
            <w:gridSpan w:val="2"/>
          </w:tcPr>
          <w:p>
            <w:pPr>
              <w:ind w:left="260"/>
              <w:spacing w:after="0"/>
              <w:rPr>
                <w:sz w:val="20"/>
                <w:szCs w:val="20"/>
                <w:color w:val="auto"/>
              </w:rPr>
            </w:pPr>
            <w:r>
              <w:rPr>
                <w:rFonts w:ascii="Arial" w:cs="Arial" w:eastAsia="Arial" w:hAnsi="Arial"/>
                <w:sz w:val="18"/>
                <w:szCs w:val="18"/>
                <w:b w:val="1"/>
                <w:bCs w:val="1"/>
                <w:color w:val="auto"/>
              </w:rPr>
              <w:t>U.S. REAL ESTATE INVESTMENT FUND REIT, INC.</w:t>
            </w:r>
          </w:p>
        </w:tc>
      </w:tr>
      <w:tr>
        <w:trPr>
          <w:trHeight w:val="222"/>
        </w:trPr>
        <w:tc>
          <w:tcPr>
            <w:tcW w:w="640" w:type="dxa"/>
            <w:vAlign w:val="bottom"/>
          </w:tcPr>
          <w:p>
            <w:pPr>
              <w:spacing w:after="0"/>
              <w:rPr>
                <w:sz w:val="19"/>
                <w:szCs w:val="19"/>
                <w:color w:val="auto"/>
              </w:rPr>
            </w:pPr>
          </w:p>
        </w:tc>
        <w:tc>
          <w:tcPr>
            <w:tcW w:w="5100" w:type="dxa"/>
            <w:vAlign w:val="bottom"/>
            <w:gridSpan w:val="2"/>
          </w:tcPr>
          <w:p>
            <w:pPr>
              <w:ind w:left="160"/>
              <w:spacing w:after="0"/>
              <w:rPr>
                <w:sz w:val="20"/>
                <w:szCs w:val="20"/>
                <w:color w:val="auto"/>
              </w:rPr>
            </w:pPr>
            <w:r>
              <w:rPr>
                <w:rFonts w:ascii="Arial" w:cs="Arial" w:eastAsia="Arial" w:hAnsi="Arial"/>
                <w:sz w:val="18"/>
                <w:szCs w:val="18"/>
                <w:color w:val="auto"/>
              </w:rPr>
              <w:t>a Delaware corporation, its Manager</w:t>
            </w:r>
          </w:p>
        </w:tc>
      </w:tr>
      <w:tr>
        <w:trPr>
          <w:trHeight w:val="376"/>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0" w:type="dxa"/>
            <w:vAlign w:val="bottom"/>
          </w:tcPr>
          <w:p>
            <w:pPr>
              <w:spacing w:after="0"/>
              <w:rPr>
                <w:sz w:val="24"/>
                <w:szCs w:val="24"/>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Taranto</w:t>
            </w:r>
          </w:p>
        </w:tc>
      </w:tr>
      <w:tr>
        <w:trPr>
          <w:trHeight w:val="172"/>
        </w:trPr>
        <w:tc>
          <w:tcPr>
            <w:tcW w:w="640" w:type="dxa"/>
            <w:vAlign w:val="bottom"/>
          </w:tcPr>
          <w:p>
            <w:pPr>
              <w:spacing w:after="0" w:line="171" w:lineRule="exact"/>
              <w:rPr>
                <w:sz w:val="20"/>
                <w:szCs w:val="20"/>
                <w:color w:val="auto"/>
              </w:rPr>
            </w:pPr>
            <w:r>
              <w:rPr>
                <w:rFonts w:ascii="Arial" w:cs="Arial" w:eastAsia="Arial" w:hAnsi="Arial"/>
                <w:sz w:val="18"/>
                <w:szCs w:val="18"/>
                <w:color w:val="auto"/>
              </w:rPr>
              <w:t>Name:</w:t>
            </w:r>
          </w:p>
        </w:tc>
        <w:tc>
          <w:tcPr>
            <w:tcW w:w="380" w:type="dxa"/>
            <w:vAlign w:val="bottom"/>
          </w:tcPr>
          <w:p>
            <w:pPr>
              <w:spacing w:after="0"/>
              <w:rPr>
                <w:sz w:val="14"/>
                <w:szCs w:val="14"/>
                <w:color w:val="auto"/>
              </w:rPr>
            </w:pPr>
          </w:p>
        </w:tc>
        <w:tc>
          <w:tcPr>
            <w:tcW w:w="4720" w:type="dxa"/>
            <w:vAlign w:val="bottom"/>
          </w:tcPr>
          <w:p>
            <w:pPr>
              <w:spacing w:after="0" w:line="171" w:lineRule="exact"/>
              <w:rPr>
                <w:sz w:val="20"/>
                <w:szCs w:val="20"/>
                <w:color w:val="auto"/>
              </w:rPr>
            </w:pPr>
            <w:r>
              <w:rPr>
                <w:rFonts w:ascii="Arial" w:cs="Arial" w:eastAsia="Arial" w:hAnsi="Arial"/>
                <w:sz w:val="18"/>
                <w:szCs w:val="18"/>
                <w:color w:val="auto"/>
              </w:rPr>
              <w:t>Thomas Taranto</w:t>
            </w: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8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HUBSPOT, INC.</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2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P. Kelleher</w:t>
            </w:r>
          </w:p>
        </w:tc>
      </w:tr>
      <w:tr>
        <w:trPr>
          <w:trHeight w:val="172"/>
        </w:trPr>
        <w:tc>
          <w:tcPr>
            <w:tcW w:w="1020" w:type="dxa"/>
            <w:vAlign w:val="bottom"/>
          </w:tcPr>
          <w:p>
            <w:pPr>
              <w:spacing w:after="0" w:line="171" w:lineRule="exact"/>
              <w:rPr>
                <w:sz w:val="20"/>
                <w:szCs w:val="20"/>
                <w:color w:val="auto"/>
              </w:rPr>
            </w:pPr>
            <w:r>
              <w:rPr>
                <w:rFonts w:ascii="Arial" w:cs="Arial" w:eastAsia="Arial" w:hAnsi="Arial"/>
                <w:sz w:val="18"/>
                <w:szCs w:val="18"/>
                <w:color w:val="auto"/>
              </w:rPr>
              <w:t>Name:</w:t>
            </w:r>
          </w:p>
        </w:tc>
        <w:tc>
          <w:tcPr>
            <w:tcW w:w="4720" w:type="dxa"/>
            <w:vAlign w:val="bottom"/>
          </w:tcPr>
          <w:p>
            <w:pPr>
              <w:spacing w:after="0" w:line="171" w:lineRule="exact"/>
              <w:rPr>
                <w:sz w:val="20"/>
                <w:szCs w:val="20"/>
                <w:color w:val="auto"/>
              </w:rPr>
            </w:pPr>
            <w:r>
              <w:rPr>
                <w:rFonts w:ascii="Arial" w:cs="Arial" w:eastAsia="Arial" w:hAnsi="Arial"/>
                <w:sz w:val="18"/>
                <w:szCs w:val="18"/>
                <w:color w:val="auto"/>
              </w:rPr>
              <w:t>John P. Kelleher</w:t>
            </w:r>
          </w:p>
        </w:tc>
      </w:tr>
      <w:tr>
        <w:trPr>
          <w:trHeight w:val="222"/>
        </w:trPr>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spacing w:after="0"/>
              <w:rPr>
                <w:sz w:val="20"/>
                <w:szCs w:val="20"/>
                <w:color w:val="auto"/>
              </w:rPr>
            </w:pPr>
            <w:r>
              <w:rPr>
                <w:rFonts w:ascii="Arial" w:cs="Arial" w:eastAsia="Arial" w:hAnsi="Arial"/>
                <w:sz w:val="18"/>
                <w:szCs w:val="18"/>
                <w:color w:val="auto"/>
              </w:rPr>
              <w:t>General Counsel</w:t>
            </w:r>
          </w:p>
        </w:tc>
      </w:tr>
    </w:tbl>
    <w:p>
      <w:pPr>
        <w:spacing w:after="0" w:line="33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311390" cy="393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0239"/>
          </w:cols>
          <w:pgMar w:left="220" w:top="309" w:right="1440" w:bottom="1440" w:gutter="0" w:footer="0" w:header="0"/>
        </w:sectPr>
      </w:pPr>
    </w:p>
    <w:bookmarkStart w:id="62" w:name="page63"/>
    <w:bookmarkEnd w:id="62"/>
    <w:p>
      <w:pPr>
        <w:ind w:left="3960"/>
        <w:spacing w:after="0"/>
        <w:rPr>
          <w:sz w:val="20"/>
          <w:szCs w:val="20"/>
          <w:color w:val="auto"/>
        </w:rPr>
      </w:pPr>
      <w:r>
        <w:rPr>
          <w:rFonts w:ascii="Arial" w:cs="Arial" w:eastAsia="Arial" w:hAnsi="Arial"/>
          <w:sz w:val="18"/>
          <w:szCs w:val="18"/>
          <w:b w:val="1"/>
          <w:bCs w:val="1"/>
          <w:color w:val="auto"/>
        </w:rPr>
        <w:t>EXHIBIT “A”</w:t>
      </w:r>
    </w:p>
    <w:p>
      <w:pPr>
        <w:spacing w:after="0" w:line="166"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PREMISES E</w:t>
      </w:r>
    </w:p>
    <w:p>
      <w:pPr>
        <w:spacing w:after="0" w:line="166" w:lineRule="exact"/>
        <w:rPr>
          <w:sz w:val="20"/>
          <w:szCs w:val="20"/>
          <w:color w:val="auto"/>
        </w:rPr>
      </w:pPr>
    </w:p>
    <w:p>
      <w:pPr>
        <w:ind w:left="3640"/>
        <w:spacing w:after="0"/>
        <w:rPr>
          <w:sz w:val="20"/>
          <w:szCs w:val="20"/>
          <w:color w:val="auto"/>
        </w:rPr>
      </w:pPr>
      <w:r>
        <w:rPr>
          <w:rFonts w:ascii="Arial" w:cs="Arial" w:eastAsia="Arial" w:hAnsi="Arial"/>
          <w:sz w:val="16"/>
          <w:szCs w:val="16"/>
          <w:b w:val="1"/>
          <w:bCs w:val="1"/>
          <w:color w:val="auto"/>
        </w:rPr>
        <w:t>ATTACHED HERETO</w:t>
      </w: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47625</wp:posOffset>
            </wp:positionV>
            <wp:extent cx="7311390" cy="393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9019"/>
          </w:cols>
          <w:pgMar w:left="1440" w:top="303" w:right="1440" w:bottom="1440"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6638290</wp:posOffset>
            </wp:positionV>
            <wp:extent cx="7311390" cy="393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EXHIBIT “B”</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IMPROVEMENT ALLOWANCE</w:t>
      </w:r>
    </w:p>
    <w:p>
      <w:pPr>
        <w:spacing w:after="0" w:line="172" w:lineRule="exact"/>
        <w:rPr>
          <w:sz w:val="20"/>
          <w:szCs w:val="20"/>
          <w:color w:val="auto"/>
        </w:rPr>
      </w:pPr>
    </w:p>
    <w:p>
      <w:pPr>
        <w:jc w:val="both"/>
        <w:ind w:firstLine="8"/>
        <w:spacing w:after="0" w:line="263" w:lineRule="auto"/>
        <w:tabs>
          <w:tab w:leader="none" w:pos="658" w:val="left"/>
        </w:tabs>
        <w:numPr>
          <w:ilvl w:val="0"/>
          <w:numId w:val="34"/>
        </w:numPr>
        <w:rPr>
          <w:rFonts w:ascii="Arial" w:cs="Arial" w:eastAsia="Arial" w:hAnsi="Arial"/>
          <w:sz w:val="16"/>
          <w:szCs w:val="16"/>
          <w:color w:val="auto"/>
        </w:rPr>
      </w:pPr>
      <w:r>
        <w:rPr>
          <w:rFonts w:ascii="Arial" w:cs="Arial" w:eastAsia="Arial" w:hAnsi="Arial"/>
          <w:sz w:val="16"/>
          <w:szCs w:val="16"/>
          <w:color w:val="auto"/>
        </w:rPr>
        <w:t>Landlord shall, in the manner set forth in Section 5.2(b) of the Lease, provide to Tenant the following tenant improvement allowances: (a) up to $70.00 per rentable square foot of Premises E (which equals up to $707,630.00 in total) (the “</w:t>
      </w:r>
      <w:r>
        <w:rPr>
          <w:rFonts w:ascii="Arial" w:cs="Arial" w:eastAsia="Arial" w:hAnsi="Arial"/>
          <w:sz w:val="16"/>
          <w:szCs w:val="16"/>
          <w:b w:val="1"/>
          <w:bCs w:val="1"/>
          <w:color w:val="auto"/>
        </w:rPr>
        <w:t>Premises E Improvement Allowance</w:t>
      </w:r>
      <w:r>
        <w:rPr>
          <w:rFonts w:ascii="Arial" w:cs="Arial" w:eastAsia="Arial" w:hAnsi="Arial"/>
          <w:sz w:val="16"/>
          <w:szCs w:val="16"/>
          <w:color w:val="auto"/>
        </w:rPr>
        <w:t>”); and (b) up to $3.50 per rentable square foot of the Existing Premises per annum for each year from February 1, 2026 to the Premises E Expiration Date (the “</w:t>
      </w:r>
      <w:r>
        <w:rPr>
          <w:rFonts w:ascii="Arial" w:cs="Arial" w:eastAsia="Arial" w:hAnsi="Arial"/>
          <w:sz w:val="16"/>
          <w:szCs w:val="16"/>
          <w:b w:val="1"/>
          <w:bCs w:val="1"/>
          <w:color w:val="auto"/>
        </w:rPr>
        <w:t>Existing Premises Refurbishment</w:t>
      </w:r>
      <w:r>
        <w:rPr>
          <w:rFonts w:ascii="Arial" w:cs="Arial" w:eastAsia="Arial" w:hAnsi="Arial"/>
          <w:sz w:val="16"/>
          <w:szCs w:val="16"/>
          <w:color w:val="auto"/>
        </w:rPr>
        <w:t xml:space="preserve"> </w:t>
      </w:r>
      <w:r>
        <w:rPr>
          <w:rFonts w:ascii="Arial" w:cs="Arial" w:eastAsia="Arial" w:hAnsi="Arial"/>
          <w:sz w:val="16"/>
          <w:szCs w:val="16"/>
          <w:b w:val="1"/>
          <w:bCs w:val="1"/>
          <w:color w:val="auto"/>
        </w:rPr>
        <w:t>Allowance</w:t>
      </w:r>
      <w:r>
        <w:rPr>
          <w:rFonts w:ascii="Arial" w:cs="Arial" w:eastAsia="Arial" w:hAnsi="Arial"/>
          <w:sz w:val="16"/>
          <w:szCs w:val="16"/>
          <w:color w:val="auto"/>
        </w:rPr>
        <w:t>”). If the Premises E Expiration Date occurs on April 30, 2029, then the Existing Premises Refurbishment Allowance will be $630,015.75. The</w:t>
      </w:r>
      <w:r>
        <w:rPr>
          <w:rFonts w:ascii="Arial" w:cs="Arial" w:eastAsia="Arial" w:hAnsi="Arial"/>
          <w:sz w:val="16"/>
          <w:szCs w:val="16"/>
          <w:b w:val="1"/>
          <w:bCs w:val="1"/>
          <w:color w:val="auto"/>
        </w:rPr>
        <w:t xml:space="preserve"> </w:t>
      </w:r>
      <w:r>
        <w:rPr>
          <w:rFonts w:ascii="Arial" w:cs="Arial" w:eastAsia="Arial" w:hAnsi="Arial"/>
          <w:sz w:val="16"/>
          <w:szCs w:val="16"/>
          <w:color w:val="auto"/>
        </w:rPr>
        <w:t>Premises E Improvement Allowance shall be used by Tenant to pay for the hard and soft costs to construct certain improvements with respect to the Premises E (the “</w:t>
      </w:r>
      <w:r>
        <w:rPr>
          <w:rFonts w:ascii="Arial" w:cs="Arial" w:eastAsia="Arial" w:hAnsi="Arial"/>
          <w:sz w:val="16"/>
          <w:szCs w:val="16"/>
          <w:b w:val="1"/>
          <w:bCs w:val="1"/>
          <w:color w:val="auto"/>
        </w:rPr>
        <w:t>Premises E Tenant Improvements</w:t>
      </w:r>
      <w:r>
        <w:rPr>
          <w:rFonts w:ascii="Arial" w:cs="Arial" w:eastAsia="Arial" w:hAnsi="Arial"/>
          <w:sz w:val="16"/>
          <w:szCs w:val="16"/>
          <w:color w:val="auto"/>
        </w:rPr>
        <w:t>”). The Existing Premises Refurbishment Allowance shall be used by Tenant to pay for the hard and soft costs to construct certain improvements with respect to the Existing Premises (the “</w:t>
      </w:r>
      <w:r>
        <w:rPr>
          <w:rFonts w:ascii="Arial" w:cs="Arial" w:eastAsia="Arial" w:hAnsi="Arial"/>
          <w:sz w:val="16"/>
          <w:szCs w:val="16"/>
          <w:b w:val="1"/>
          <w:bCs w:val="1"/>
          <w:color w:val="auto"/>
        </w:rPr>
        <w:t>Existing Premises Tenant Improvements</w:t>
      </w:r>
      <w:r>
        <w:rPr>
          <w:rFonts w:ascii="Arial" w:cs="Arial" w:eastAsia="Arial" w:hAnsi="Arial"/>
          <w:sz w:val="16"/>
          <w:szCs w:val="16"/>
          <w:color w:val="auto"/>
        </w:rPr>
        <w:t>”). The Premises E Improvement Allowance and the Existing Premises Refurbishment Allowance shall be collectively referred to as the “</w:t>
      </w:r>
      <w:r>
        <w:rPr>
          <w:rFonts w:ascii="Arial" w:cs="Arial" w:eastAsia="Arial" w:hAnsi="Arial"/>
          <w:sz w:val="16"/>
          <w:szCs w:val="16"/>
          <w:b w:val="1"/>
          <w:bCs w:val="1"/>
          <w:color w:val="auto"/>
        </w:rPr>
        <w:t>Additional Improvement Allowance</w:t>
      </w:r>
      <w:r>
        <w:rPr>
          <w:rFonts w:ascii="Arial" w:cs="Arial" w:eastAsia="Arial" w:hAnsi="Arial"/>
          <w:sz w:val="16"/>
          <w:szCs w:val="16"/>
          <w:color w:val="auto"/>
        </w:rPr>
        <w:t>”, and the Premises E Tenant Improvements and the Existing Premises Tenant Improvements shall be collectively referred to as the “</w:t>
      </w:r>
      <w:r>
        <w:rPr>
          <w:rFonts w:ascii="Arial" w:cs="Arial" w:eastAsia="Arial" w:hAnsi="Arial"/>
          <w:sz w:val="16"/>
          <w:szCs w:val="16"/>
          <w:b w:val="1"/>
          <w:bCs w:val="1"/>
          <w:color w:val="auto"/>
        </w:rPr>
        <w:t>Additional Tenant Improvements</w:t>
      </w:r>
      <w:r>
        <w:rPr>
          <w:rFonts w:ascii="Arial" w:cs="Arial" w:eastAsia="Arial" w:hAnsi="Arial"/>
          <w:sz w:val="16"/>
          <w:szCs w:val="16"/>
          <w:color w:val="auto"/>
        </w:rPr>
        <w:t>”.</w:t>
      </w:r>
    </w:p>
    <w:p>
      <w:pPr>
        <w:spacing w:after="0" w:line="138" w:lineRule="exact"/>
        <w:rPr>
          <w:rFonts w:ascii="Arial" w:cs="Arial" w:eastAsia="Arial" w:hAnsi="Arial"/>
          <w:sz w:val="16"/>
          <w:szCs w:val="16"/>
          <w:color w:val="auto"/>
        </w:rPr>
      </w:pPr>
    </w:p>
    <w:p>
      <w:pPr>
        <w:jc w:val="both"/>
        <w:ind w:firstLine="8"/>
        <w:spacing w:after="0" w:line="238" w:lineRule="auto"/>
        <w:tabs>
          <w:tab w:leader="none" w:pos="658"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Landlord agrees that Tenant may apply the Additional Improvement Allowance towards hard construction costs, soft costs (such as permitting, architectural and engineering fees), voice and data wiring and cabling costs, and furniture, fixtures and equipment expenses subject to and in accordance with the same terms and conditions set forth in Sections 5.2(b) and 5.2(c) of the Lease.</w:t>
      </w:r>
    </w:p>
    <w:p>
      <w:pPr>
        <w:spacing w:after="0" w:line="152" w:lineRule="exact"/>
        <w:rPr>
          <w:rFonts w:ascii="Arial" w:cs="Arial" w:eastAsia="Arial" w:hAnsi="Arial"/>
          <w:sz w:val="18"/>
          <w:szCs w:val="18"/>
          <w:color w:val="auto"/>
        </w:rPr>
      </w:pPr>
    </w:p>
    <w:p>
      <w:pPr>
        <w:ind w:firstLine="8"/>
        <w:spacing w:after="0" w:line="246" w:lineRule="auto"/>
        <w:tabs>
          <w:tab w:leader="none" w:pos="65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Tenant acknowledges that all costs for the Additional Tenant Improvements in excess of the Additional Improvement Allowance shall be at the sole cost and expense of Tenant.</w:t>
      </w:r>
    </w:p>
    <w:p>
      <w:pPr>
        <w:spacing w:after="0" w:line="146" w:lineRule="exact"/>
        <w:rPr>
          <w:rFonts w:ascii="Arial" w:cs="Arial" w:eastAsia="Arial" w:hAnsi="Arial"/>
          <w:sz w:val="18"/>
          <w:szCs w:val="18"/>
          <w:color w:val="auto"/>
        </w:rPr>
      </w:pPr>
    </w:p>
    <w:p>
      <w:pPr>
        <w:jc w:val="both"/>
        <w:ind w:firstLine="8"/>
        <w:spacing w:after="0" w:line="270" w:lineRule="auto"/>
        <w:tabs>
          <w:tab w:leader="none" w:pos="658"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Additional Tenant Improvements shall: (a) be subject to the same terms and conditions set forth in Section 5 of the Lease applicable to the Tenant’s Work, provided, however, in no event shall Tenant be required to post any lien bonds or surety payment and performance bonds with respect to the Tenant Improvements; (b) based on plans and specifications previously approved by Landlord, which approval shall not be unreasonably withheld, conditioned or delayed; (c) performed in a good and workmanlike manner by contractors previously approved by Landlord, which approval shall not be unreasonably withheld, conditioned or delayed; and (d) be in compliance with all applicable laws and regulations.</w:t>
      </w:r>
    </w:p>
    <w:p>
      <w:pPr>
        <w:spacing w:after="0" w:line="127" w:lineRule="exact"/>
        <w:rPr>
          <w:rFonts w:ascii="Arial" w:cs="Arial" w:eastAsia="Arial" w:hAnsi="Arial"/>
          <w:sz w:val="16"/>
          <w:szCs w:val="16"/>
          <w:color w:val="auto"/>
        </w:rPr>
      </w:pPr>
    </w:p>
    <w:p>
      <w:pPr>
        <w:ind w:firstLine="8"/>
        <w:spacing w:after="0" w:line="246" w:lineRule="auto"/>
        <w:tabs>
          <w:tab w:leader="none" w:pos="658"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Landlord shall disburse the Additional Improvement Allowance to Tenant on a periodic basis (but no more than once per month) in accordance with the terms and conditions of Section 5.2 of the Lease applicable to the Landlord’s Contribution.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311390" cy="393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65" w:name="page66"/>
    <w:bookmarkEnd w:id="65"/>
    <w:p>
      <w:pPr>
        <w:jc w:val="both"/>
        <w:ind w:left="-8" w:firstLine="8"/>
        <w:spacing w:after="0" w:line="274" w:lineRule="auto"/>
        <w:tabs>
          <w:tab w:leader="none" w:pos="65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Tenant must request disbursement of: (i) the Premises E Improvement Allowance on or before the date which is eighteen (18) months following the Premises E Commencement Date, and (ii) the Existing Premises Refurbishment Allowance on or before January 31, 2025, the failing of which shall cause Tenant to forfeit any portion of the applicable Additional Improvement Allowance not requisitioned by Tenant as of such applicable date. Tenant shall not be permitted to apply any unused Additional Improvement Allowance toward Rent or other amounts due under the Lease.</w:t>
      </w:r>
    </w:p>
    <w:p>
      <w:pPr>
        <w:spacing w:after="0" w:line="125" w:lineRule="exact"/>
        <w:rPr>
          <w:rFonts w:ascii="Arial" w:cs="Arial" w:eastAsia="Arial" w:hAnsi="Arial"/>
          <w:sz w:val="16"/>
          <w:szCs w:val="16"/>
          <w:color w:val="auto"/>
        </w:rPr>
      </w:pPr>
    </w:p>
    <w:p>
      <w:pPr>
        <w:jc w:val="both"/>
        <w:ind w:left="-8" w:firstLine="8"/>
        <w:spacing w:after="0" w:line="267" w:lineRule="auto"/>
        <w:tabs>
          <w:tab w:leader="none" w:pos="65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Landlord fails timely to pay any portion of the Landlord’s Contribution, the Improvement Allowance, or the Additional Improvement Allowance when properly due and as to which Tenant has satisfied the requisition conditions, and such failure shall continue for thirty (30) days after written notice from Tenant to Landlord, then Tenant, provided no monetary or material non-monetary Event of Default of Tenant has occurred and is continuing, may deliver a second notice to Landlord, which notice shall specify the Requisition that has not been timely paid, the date upon which it was sent to Landlord, and if Landlord fails to disburse the amount expressly referenced in such notice within five (5) business days, then Tenant shall have the right to have such unpaid amount credited against the next installment(s) of Yearly Rent thereafter due under the Lease, until such sums due Tenant have been fully paid by Landlord or fully credited and accounted for.</w:t>
      </w:r>
    </w:p>
    <w:p>
      <w:pPr>
        <w:spacing w:after="0" w:line="13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47625</wp:posOffset>
            </wp:positionV>
            <wp:extent cx="7311390" cy="393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52"/>
          </w:cols>
          <w:pgMar w:left="228" w:top="309" w:right="219" w:bottom="1440" w:gutter="0" w:footer="0" w:header="0"/>
        </w:sectPr>
      </w:pPr>
    </w:p>
    <w:bookmarkStart w:id="66" w:name="page67"/>
    <w:bookmarkEnd w:id="66"/>
    <w:p>
      <w:pPr>
        <w:jc w:val="center"/>
        <w:ind w:right="-20"/>
        <w:spacing w:after="0"/>
        <w:rPr>
          <w:sz w:val="20"/>
          <w:szCs w:val="20"/>
          <w:color w:val="auto"/>
        </w:rPr>
      </w:pPr>
      <w:r>
        <w:rPr>
          <w:rFonts w:ascii="Arial" w:cs="Arial" w:eastAsia="Arial" w:hAnsi="Arial"/>
          <w:sz w:val="18"/>
          <w:szCs w:val="18"/>
          <w:b w:val="1"/>
          <w:bCs w:val="1"/>
          <w:color w:val="auto"/>
        </w:rPr>
        <w:t>EXHIBIT “C”</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PATIO</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ATTACHED HERETO</w:t>
      </w: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47625</wp:posOffset>
            </wp:positionV>
            <wp:extent cx="7311390" cy="393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9019"/>
          </w:cols>
          <w:pgMar w:left="1440" w:top="303" w:right="1440" w:bottom="1440"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1621155</wp:posOffset>
            </wp:positionH>
            <wp:positionV relativeFrom="page">
              <wp:posOffset>207645</wp:posOffset>
            </wp:positionV>
            <wp:extent cx="4325620" cy="60325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4325620" cy="6032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10.2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LEASE</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SECOND AMENDMENT TO LEASE</w:t>
      </w:r>
      <w:r>
        <w:rPr>
          <w:rFonts w:ascii="Arial" w:cs="Arial" w:eastAsia="Arial" w:hAnsi="Arial"/>
          <w:sz w:val="18"/>
          <w:szCs w:val="18"/>
          <w:color w:val="auto"/>
        </w:rPr>
        <w:t xml:space="preserve"> (the “</w:t>
      </w:r>
      <w:r>
        <w:rPr>
          <w:rFonts w:ascii="Arial" w:cs="Arial" w:eastAsia="Arial" w:hAnsi="Arial"/>
          <w:sz w:val="18"/>
          <w:szCs w:val="18"/>
          <w:b w:val="1"/>
          <w:bCs w:val="1"/>
          <w:color w:val="auto"/>
        </w:rPr>
        <w:t>Second Amendment</w:t>
      </w:r>
      <w:r>
        <w:rPr>
          <w:rFonts w:ascii="Arial" w:cs="Arial" w:eastAsia="Arial" w:hAnsi="Arial"/>
          <w:sz w:val="18"/>
          <w:szCs w:val="18"/>
          <w:color w:val="auto"/>
        </w:rPr>
        <w:t xml:space="preserve">”) dated this </w:t>
      </w:r>
      <w:r>
        <w:rPr>
          <w:rFonts w:ascii="Arial" w:cs="Arial" w:eastAsia="Arial" w:hAnsi="Arial"/>
          <w:sz w:val="22"/>
          <w:szCs w:val="22"/>
          <w:color w:val="auto"/>
        </w:rPr>
        <w:t>12th</w:t>
      </w:r>
      <w:r>
        <w:rPr>
          <w:rFonts w:ascii="Arial" w:cs="Arial" w:eastAsia="Arial" w:hAnsi="Arial"/>
          <w:sz w:val="18"/>
          <w:szCs w:val="18"/>
          <w:color w:val="auto"/>
        </w:rPr>
        <w:t xml:space="preserve"> day of March, 2018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is made by and between </w:t>
      </w:r>
      <w:r>
        <w:rPr>
          <w:rFonts w:ascii="Arial" w:cs="Arial" w:eastAsia="Arial" w:hAnsi="Arial"/>
          <w:sz w:val="18"/>
          <w:szCs w:val="18"/>
          <w:b w:val="1"/>
          <w:bCs w:val="1"/>
          <w:color w:val="auto"/>
        </w:rPr>
        <w:t>TWO CANAL PARK MASSACHUSETTS</w:t>
      </w:r>
      <w:r>
        <w:rPr>
          <w:rFonts w:ascii="Arial" w:cs="Arial" w:eastAsia="Arial" w:hAnsi="Arial"/>
          <w:sz w:val="18"/>
          <w:szCs w:val="18"/>
          <w:color w:val="auto"/>
        </w:rPr>
        <w:t>,</w:t>
      </w:r>
      <w:r>
        <w:rPr>
          <w:rFonts w:ascii="Arial" w:cs="Arial" w:eastAsia="Arial" w:hAnsi="Arial"/>
          <w:sz w:val="18"/>
          <w:szCs w:val="18"/>
          <w:b w:val="1"/>
          <w:bCs w:val="1"/>
          <w:color w:val="auto"/>
        </w:rPr>
        <w:t xml:space="preserve"> LLC</w:t>
      </w:r>
      <w:r>
        <w:rPr>
          <w:rFonts w:ascii="Arial" w:cs="Arial" w:eastAsia="Arial" w:hAnsi="Arial"/>
          <w:sz w:val="18"/>
          <w:szCs w:val="18"/>
          <w:color w:val="auto"/>
        </w:rPr>
        <w:t>, a Delaware limited liability company (the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HUBSPOT, INC.</w:t>
      </w:r>
      <w:r>
        <w:rPr>
          <w:rFonts w:ascii="Arial" w:cs="Arial" w:eastAsia="Arial" w:hAnsi="Arial"/>
          <w:sz w:val="18"/>
          <w:szCs w:val="18"/>
          <w:color w:val="auto"/>
        </w:rPr>
        <w:t>, a Delaware corporation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66" w:lineRule="exact"/>
        <w:rPr>
          <w:sz w:val="20"/>
          <w:szCs w:val="20"/>
          <w:color w:val="auto"/>
        </w:rPr>
      </w:pPr>
    </w:p>
    <w:p>
      <w:pPr>
        <w:jc w:val="both"/>
        <w:ind w:firstLine="8"/>
        <w:spacing w:after="0" w:line="276" w:lineRule="auto"/>
        <w:tabs>
          <w:tab w:leader="none" w:pos="697" w:val="left"/>
        </w:tabs>
        <w:numPr>
          <w:ilvl w:val="0"/>
          <w:numId w:val="36"/>
        </w:numPr>
        <w:rPr>
          <w:rFonts w:ascii="Arial" w:cs="Arial" w:eastAsia="Arial" w:hAnsi="Arial"/>
          <w:sz w:val="16"/>
          <w:szCs w:val="16"/>
          <w:color w:val="auto"/>
        </w:rPr>
      </w:pPr>
      <w:r>
        <w:rPr>
          <w:rFonts w:ascii="Arial" w:cs="Arial" w:eastAsia="Arial" w:hAnsi="Arial"/>
          <w:sz w:val="16"/>
          <w:szCs w:val="16"/>
          <w:color w:val="auto"/>
        </w:rPr>
        <w:t>WHEREAS, Landlord and Tenant entered into that certain Lease dated April 23, 2015 (the “</w:t>
      </w:r>
      <w:r>
        <w:rPr>
          <w:rFonts w:ascii="Arial" w:cs="Arial" w:eastAsia="Arial" w:hAnsi="Arial"/>
          <w:sz w:val="16"/>
          <w:szCs w:val="16"/>
          <w:b w:val="1"/>
          <w:bCs w:val="1"/>
          <w:color w:val="auto"/>
        </w:rPr>
        <w:t>Original Lease</w:t>
      </w:r>
      <w:r>
        <w:rPr>
          <w:rFonts w:ascii="Arial" w:cs="Arial" w:eastAsia="Arial" w:hAnsi="Arial"/>
          <w:sz w:val="16"/>
          <w:szCs w:val="16"/>
          <w:color w:val="auto"/>
        </w:rPr>
        <w:t>”), as amended by that certain First Amendment to Lease dated August 10, 2016 (the “</w:t>
      </w:r>
      <w:r>
        <w:rPr>
          <w:rFonts w:ascii="Arial" w:cs="Arial" w:eastAsia="Arial" w:hAnsi="Arial"/>
          <w:sz w:val="16"/>
          <w:szCs w:val="16"/>
          <w:b w:val="1"/>
          <w:bCs w:val="1"/>
          <w:color w:val="auto"/>
        </w:rPr>
        <w:t>First Amendment</w:t>
      </w:r>
      <w:r>
        <w:rPr>
          <w:rFonts w:ascii="Arial" w:cs="Arial" w:eastAsia="Arial" w:hAnsi="Arial"/>
          <w:sz w:val="16"/>
          <w:szCs w:val="16"/>
          <w:color w:val="auto"/>
        </w:rPr>
        <w:t>”) (collectively, the “</w:t>
      </w:r>
      <w:r>
        <w:rPr>
          <w:rFonts w:ascii="Arial" w:cs="Arial" w:eastAsia="Arial" w:hAnsi="Arial"/>
          <w:sz w:val="16"/>
          <w:szCs w:val="16"/>
          <w:b w:val="1"/>
          <w:bCs w:val="1"/>
          <w:color w:val="auto"/>
        </w:rPr>
        <w:t>Lease</w:t>
      </w:r>
      <w:r>
        <w:rPr>
          <w:rFonts w:ascii="Arial" w:cs="Arial" w:eastAsia="Arial" w:hAnsi="Arial"/>
          <w:sz w:val="16"/>
          <w:szCs w:val="16"/>
          <w:color w:val="auto"/>
        </w:rPr>
        <w:t>”) whereby Tenant leases from Landlord certain premises consisting of approximately 67,960 rentable square feet, comprised of: (i) 17,358 rentable square feet on the first (1</w:t>
      </w:r>
      <w:r>
        <w:rPr>
          <w:rFonts w:ascii="Arial" w:cs="Arial" w:eastAsia="Arial" w:hAnsi="Arial"/>
          <w:sz w:val="13"/>
          <w:szCs w:val="13"/>
          <w:color w:val="auto"/>
        </w:rPr>
        <w:t>st</w:t>
      </w:r>
      <w:r>
        <w:rPr>
          <w:rFonts w:ascii="Arial" w:cs="Arial" w:eastAsia="Arial" w:hAnsi="Arial"/>
          <w:sz w:val="16"/>
          <w:szCs w:val="16"/>
          <w:color w:val="auto"/>
        </w:rPr>
        <w:t>) floor; and (ii) approximately 50,602 rentable square feet on the second (2</w:t>
      </w:r>
      <w:r>
        <w:rPr>
          <w:rFonts w:ascii="Arial" w:cs="Arial" w:eastAsia="Arial" w:hAnsi="Arial"/>
          <w:sz w:val="13"/>
          <w:szCs w:val="13"/>
          <w:color w:val="auto"/>
        </w:rPr>
        <w:t>nd</w:t>
      </w:r>
      <w:r>
        <w:rPr>
          <w:rFonts w:ascii="Arial" w:cs="Arial" w:eastAsia="Arial" w:hAnsi="Arial"/>
          <w:sz w:val="16"/>
          <w:szCs w:val="16"/>
          <w:color w:val="auto"/>
        </w:rPr>
        <w:t>) floor (the “</w:t>
      </w:r>
      <w:r>
        <w:rPr>
          <w:rFonts w:ascii="Arial" w:cs="Arial" w:eastAsia="Arial" w:hAnsi="Arial"/>
          <w:sz w:val="16"/>
          <w:szCs w:val="16"/>
          <w:b w:val="1"/>
          <w:bCs w:val="1"/>
          <w:color w:val="auto"/>
        </w:rPr>
        <w:t>Premises</w:t>
      </w:r>
      <w:r>
        <w:rPr>
          <w:rFonts w:ascii="Arial" w:cs="Arial" w:eastAsia="Arial" w:hAnsi="Arial"/>
          <w:sz w:val="16"/>
          <w:szCs w:val="16"/>
          <w:color w:val="auto"/>
        </w:rPr>
        <w:t>”) in the building located at Two Canal Park, Cambridge, Massachusetts (the “</w:t>
      </w:r>
      <w:r>
        <w:rPr>
          <w:rFonts w:ascii="Arial" w:cs="Arial" w:eastAsia="Arial" w:hAnsi="Arial"/>
          <w:sz w:val="16"/>
          <w:szCs w:val="16"/>
          <w:b w:val="1"/>
          <w:bCs w:val="1"/>
          <w:color w:val="auto"/>
        </w:rPr>
        <w:t>Building</w:t>
      </w:r>
      <w:r>
        <w:rPr>
          <w:rFonts w:ascii="Arial" w:cs="Arial" w:eastAsia="Arial" w:hAnsi="Arial"/>
          <w:sz w:val="16"/>
          <w:szCs w:val="16"/>
          <w:color w:val="auto"/>
        </w:rPr>
        <w:t>”); and</w:t>
      </w:r>
    </w:p>
    <w:p>
      <w:pPr>
        <w:spacing w:after="0" w:line="125" w:lineRule="exact"/>
        <w:rPr>
          <w:rFonts w:ascii="Arial" w:cs="Arial" w:eastAsia="Arial" w:hAnsi="Arial"/>
          <w:sz w:val="16"/>
          <w:szCs w:val="16"/>
          <w:color w:val="auto"/>
        </w:rPr>
      </w:pPr>
    </w:p>
    <w:p>
      <w:pPr>
        <w:ind w:left="700" w:hanging="692"/>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WHEREAS, Landlord and Tenant have agree to amend the Lease on the terms and conditions set forth herein.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172" w:lineRule="exact"/>
        <w:rPr>
          <w:sz w:val="20"/>
          <w:szCs w:val="20"/>
          <w:color w:val="auto"/>
        </w:rPr>
      </w:pPr>
    </w:p>
    <w:p>
      <w:pPr>
        <w:ind w:hanging="12"/>
        <w:spacing w:after="0" w:line="246" w:lineRule="auto"/>
        <w:rPr>
          <w:sz w:val="20"/>
          <w:szCs w:val="20"/>
          <w:color w:val="auto"/>
        </w:rPr>
      </w:pPr>
      <w:r>
        <w:rPr>
          <w:rFonts w:ascii="Arial" w:cs="Arial" w:eastAsia="Arial" w:hAnsi="Arial"/>
          <w:sz w:val="18"/>
          <w:szCs w:val="18"/>
          <w:color w:val="auto"/>
        </w:rPr>
        <w:t>NOW THEREFORE, in consideration of the promises contained herein and other good and valuable consideration, the receipt of which is hereby acknowledged, the parties agree as follows:</w:t>
      </w:r>
    </w:p>
    <w:p>
      <w:pPr>
        <w:spacing w:after="0" w:line="146"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 xml:space="preserve"> The recitals set forth above are incorporated herein and made a part of this Second Amendment as if set forth herein in full.</w:t>
      </w:r>
    </w:p>
    <w:p>
      <w:pPr>
        <w:spacing w:after="0" w:line="165" w:lineRule="exact"/>
        <w:rPr>
          <w:rFonts w:ascii="Arial" w:cs="Arial" w:eastAsia="Arial" w:hAnsi="Arial"/>
          <w:sz w:val="18"/>
          <w:szCs w:val="18"/>
          <w:color w:val="auto"/>
        </w:rPr>
      </w:pPr>
    </w:p>
    <w:p>
      <w:pPr>
        <w:jc w:val="both"/>
        <w:ind w:firstLine="8"/>
        <w:spacing w:after="0" w:line="238" w:lineRule="auto"/>
        <w:tabs>
          <w:tab w:leader="none" w:pos="658"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xml:space="preserve"> All capitalized terms used in this Second Amendment that are not defined in this Second Amendment shall have the meanings ascribed to such terms in the Lease. In the event of any conflict between the terms of the Lease and the terms of this Second Amendment, the definitions set forth in this Second Amendment shall control.</w:t>
      </w:r>
    </w:p>
    <w:p>
      <w:pPr>
        <w:spacing w:after="0" w:line="152" w:lineRule="exact"/>
        <w:rPr>
          <w:rFonts w:ascii="Arial" w:cs="Arial" w:eastAsia="Arial" w:hAnsi="Arial"/>
          <w:sz w:val="18"/>
          <w:szCs w:val="18"/>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Amendment to Definition of RFO Premises</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880" w:hanging="433"/>
        <w:spacing w:after="0" w:line="246" w:lineRule="auto"/>
        <w:tabs>
          <w:tab w:leader="none" w:pos="8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Landlord hereby represents that there are no superior rights to any of the RFO Premises (as such term is hereinafter amended) as of the date of this Second Amendment.</w:t>
      </w:r>
    </w:p>
    <w:p>
      <w:pPr>
        <w:spacing w:after="0" w:line="146" w:lineRule="exact"/>
        <w:rPr>
          <w:rFonts w:ascii="Arial" w:cs="Arial" w:eastAsia="Arial" w:hAnsi="Arial"/>
          <w:sz w:val="18"/>
          <w:szCs w:val="18"/>
          <w:color w:val="auto"/>
        </w:rPr>
      </w:pPr>
    </w:p>
    <w:p>
      <w:pPr>
        <w:ind w:left="880" w:hanging="433"/>
        <w:spacing w:after="0"/>
        <w:tabs>
          <w:tab w:leader="none" w:pos="8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RFO Premises, as defined in the first sentence of Section 29.17(a) of the Original Lease, shall be deleted in its entirety and restated as follows:</w:t>
      </w:r>
    </w:p>
    <w:p>
      <w:pPr>
        <w:spacing w:after="0" w:line="183" w:lineRule="exact"/>
        <w:rPr>
          <w:sz w:val="20"/>
          <w:szCs w:val="20"/>
          <w:color w:val="auto"/>
        </w:rPr>
      </w:pPr>
    </w:p>
    <w:p>
      <w:pPr>
        <w:ind w:left="1780" w:hanging="1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RFO Premises</w:t>
      </w:r>
      <w:r>
        <w:rPr>
          <w:rFonts w:ascii="Arial" w:cs="Arial" w:eastAsia="Arial" w:hAnsi="Arial"/>
          <w:sz w:val="18"/>
          <w:szCs w:val="18"/>
          <w:color w:val="auto"/>
        </w:rPr>
        <w:t>” shall be defined as any area on the third (3</w:t>
      </w:r>
      <w:r>
        <w:rPr>
          <w:rFonts w:ascii="Arial" w:cs="Arial" w:eastAsia="Arial" w:hAnsi="Arial"/>
          <w:sz w:val="14"/>
          <w:szCs w:val="14"/>
          <w:color w:val="auto"/>
        </w:rPr>
        <w:t>rd</w:t>
      </w:r>
      <w:r>
        <w:rPr>
          <w:rFonts w:ascii="Arial" w:cs="Arial" w:eastAsia="Arial" w:hAnsi="Arial"/>
          <w:sz w:val="18"/>
          <w:szCs w:val="18"/>
          <w:color w:val="auto"/>
        </w:rPr>
        <w:t>), fourth (4</w:t>
      </w:r>
      <w:r>
        <w:rPr>
          <w:rFonts w:ascii="Arial" w:cs="Arial" w:eastAsia="Arial" w:hAnsi="Arial"/>
          <w:sz w:val="14"/>
          <w:szCs w:val="14"/>
          <w:color w:val="auto"/>
        </w:rPr>
        <w:t>th</w:t>
      </w:r>
      <w:r>
        <w:rPr>
          <w:rFonts w:ascii="Arial" w:cs="Arial" w:eastAsia="Arial" w:hAnsi="Arial"/>
          <w:sz w:val="18"/>
          <w:szCs w:val="18"/>
          <w:color w:val="auto"/>
        </w:rPr>
        <w:t>), and fifth (5</w:t>
      </w:r>
      <w:r>
        <w:rPr>
          <w:rFonts w:ascii="Arial" w:cs="Arial" w:eastAsia="Arial" w:hAnsi="Arial"/>
          <w:sz w:val="14"/>
          <w:szCs w:val="14"/>
          <w:color w:val="auto"/>
        </w:rPr>
        <w:t>th</w:t>
      </w:r>
      <w:r>
        <w:rPr>
          <w:rFonts w:ascii="Arial" w:cs="Arial" w:eastAsia="Arial" w:hAnsi="Arial"/>
          <w:sz w:val="18"/>
          <w:szCs w:val="18"/>
          <w:color w:val="auto"/>
        </w:rPr>
        <w:t>) floor of the Building, when such area becomes available for lease to Tenant, as hereinafter defined, during the Term of the Lease.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311390" cy="393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69" w:name="page70"/>
    <w:bookmarkEnd w:id="69"/>
    <w:p>
      <w:pPr>
        <w:jc w:val="both"/>
        <w:ind w:firstLine="8"/>
        <w:spacing w:after="0" w:line="274" w:lineRule="auto"/>
        <w:tabs>
          <w:tab w:leader="none" w:pos="658"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Exterior Signage</w:t>
      </w:r>
      <w:r>
        <w:rPr>
          <w:rFonts w:ascii="Arial" w:cs="Arial" w:eastAsia="Arial" w:hAnsi="Arial"/>
          <w:sz w:val="16"/>
          <w:szCs w:val="16"/>
          <w:color w:val="auto"/>
        </w:rPr>
        <w:t>. In addition to Tenant’s Exterior Signage rights pursuant to: (i) Section 11 of the First Amendment; and (ii) Section 17.4 of the Original Lease, Tenant, at its sole cost and expense, shall have the right to install one (1) additional exterior sign on the façade of the Building subject to all terms and conditions of Section 17.4 of the Original Lease. For purposes of confirmation herein, Tenant shall have the right to install a total of three (3) exterior signs on the façade of the Building subject to all terms and conditions of Section 17.4 of the Original Lease.</w:t>
      </w:r>
    </w:p>
    <w:p>
      <w:pPr>
        <w:spacing w:after="0" w:line="125" w:lineRule="exact"/>
        <w:rPr>
          <w:rFonts w:ascii="Arial" w:cs="Arial" w:eastAsia="Arial" w:hAnsi="Arial"/>
          <w:sz w:val="16"/>
          <w:szCs w:val="16"/>
          <w:color w:val="auto"/>
        </w:rPr>
      </w:pPr>
    </w:p>
    <w:p>
      <w:pPr>
        <w:ind w:firstLine="8"/>
        <w:spacing w:after="0" w:line="246" w:lineRule="auto"/>
        <w:tabs>
          <w:tab w:leader="none" w:pos="658"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Security Deposit</w:t>
      </w:r>
      <w:r>
        <w:rPr>
          <w:rFonts w:ascii="Arial" w:cs="Arial" w:eastAsia="Arial" w:hAnsi="Arial"/>
          <w:sz w:val="18"/>
          <w:szCs w:val="18"/>
          <w:color w:val="auto"/>
        </w:rPr>
        <w:t>. As of the Effective Date, Landlord is currently holding the Security Deposit in the amount of $855,028.00 which shall continue to be held by Landlord in connection with the terms and conditions of the Lease.</w:t>
      </w:r>
    </w:p>
    <w:p>
      <w:pPr>
        <w:spacing w:after="0" w:line="146" w:lineRule="exact"/>
        <w:rPr>
          <w:rFonts w:ascii="Arial" w:cs="Arial" w:eastAsia="Arial" w:hAnsi="Arial"/>
          <w:sz w:val="18"/>
          <w:szCs w:val="18"/>
          <w:color w:val="auto"/>
        </w:rPr>
      </w:pPr>
    </w:p>
    <w:p>
      <w:pPr>
        <w:jc w:val="both"/>
        <w:ind w:firstLine="8"/>
        <w:spacing w:after="0" w:line="263" w:lineRule="auto"/>
        <w:tabs>
          <w:tab w:leader="none" w:pos="658"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Brokers</w:t>
      </w:r>
      <w:r>
        <w:rPr>
          <w:rFonts w:ascii="Arial" w:cs="Arial" w:eastAsia="Arial" w:hAnsi="Arial"/>
          <w:sz w:val="16"/>
          <w:szCs w:val="16"/>
          <w:color w:val="auto"/>
        </w:rPr>
        <w:t>. Tenant represents to Landlord that Tenant has not dealt with any broker in connection with this Second Amendment other than CBRE/New England representing Landlord exclusively (“</w:t>
      </w:r>
      <w:r>
        <w:rPr>
          <w:rFonts w:ascii="Arial" w:cs="Arial" w:eastAsia="Arial" w:hAnsi="Arial"/>
          <w:sz w:val="16"/>
          <w:szCs w:val="16"/>
          <w:b w:val="1"/>
          <w:bCs w:val="1"/>
          <w:color w:val="auto"/>
        </w:rPr>
        <w:t>Landlord’s Broker</w:t>
      </w:r>
      <w:r>
        <w:rPr>
          <w:rFonts w:ascii="Arial" w:cs="Arial" w:eastAsia="Arial" w:hAnsi="Arial"/>
          <w:sz w:val="16"/>
          <w:szCs w:val="16"/>
          <w:color w:val="auto"/>
        </w:rPr>
        <w:t>”), and T3 Advisors, LLC, representing Tenant exclusively (“</w:t>
      </w:r>
      <w:r>
        <w:rPr>
          <w:rFonts w:ascii="Arial" w:cs="Arial" w:eastAsia="Arial" w:hAnsi="Arial"/>
          <w:sz w:val="16"/>
          <w:szCs w:val="16"/>
          <w:b w:val="1"/>
          <w:bCs w:val="1"/>
          <w:color w:val="auto"/>
        </w:rPr>
        <w:t>Tenant’s Broker</w:t>
      </w:r>
      <w:r>
        <w:rPr>
          <w:rFonts w:ascii="Arial" w:cs="Arial" w:eastAsia="Arial" w:hAnsi="Arial"/>
          <w:sz w:val="16"/>
          <w:szCs w:val="16"/>
          <w:color w:val="auto"/>
        </w:rPr>
        <w:t>”), and warrants that no other broker is or may be entitled to any commission in connection therewith. Tenant agrees to indemnify, defend and hold harmless Landlord and Landlord’s agents from all damages, liability and expense (including reasonable attorneys’ fees) arising from any claims or demands of any other brokers or finders for any commission alleged to be due such brokers or finders in connection with their participation in the negotiation with Tenant of this Second Amendment. Landlord represents and warrants that, in connection with the execution and delivery of the Lease, it has not directly or indirectly dealt with any broker other than Landlord’s Broker and Tenant’s Broker. Landlord agrees to defend, exonerate and save harmless Tenant and anyone claiming by, through, or under Tenant against any claims arising in breach of the representation and warranty set forth in the immediately preceding sentence. Landlord shall pay any commissions due to Landlord’s Broker and Tenant’s Broker pursuant to a separate agreement between Landlord and Landlord’s Broker.</w:t>
      </w:r>
    </w:p>
    <w:p>
      <w:pPr>
        <w:spacing w:after="0" w:line="138" w:lineRule="exact"/>
        <w:rPr>
          <w:rFonts w:ascii="Arial" w:cs="Arial" w:eastAsia="Arial" w:hAnsi="Arial"/>
          <w:sz w:val="16"/>
          <w:szCs w:val="16"/>
          <w:color w:val="auto"/>
        </w:rPr>
      </w:pPr>
    </w:p>
    <w:p>
      <w:pPr>
        <w:jc w:val="both"/>
        <w:ind w:firstLine="8"/>
        <w:spacing w:after="0" w:line="282" w:lineRule="auto"/>
        <w:tabs>
          <w:tab w:leader="none" w:pos="658"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Counterparts and Authority</w:t>
      </w:r>
      <w:r>
        <w:rPr>
          <w:rFonts w:ascii="Arial" w:cs="Arial" w:eastAsia="Arial" w:hAnsi="Arial"/>
          <w:sz w:val="16"/>
          <w:szCs w:val="16"/>
          <w:color w:val="auto"/>
        </w:rPr>
        <w:t>. This Second Amendment may be executed in several counterparts, each of which shall be an original and all of which shall constitute but one and the same instrument. Landlord and Tenant each warrant to the other that the person or persons executing this Second Amendment on its behalf has or have authority to do so and that such execution has fully obligated and bound such party to all terms and provisions of this Second Amendment.</w:t>
      </w:r>
    </w:p>
    <w:p>
      <w:pPr>
        <w:spacing w:after="0" w:line="119" w:lineRule="exact"/>
        <w:rPr>
          <w:rFonts w:ascii="Arial" w:cs="Arial" w:eastAsia="Arial" w:hAnsi="Arial"/>
          <w:sz w:val="16"/>
          <w:szCs w:val="16"/>
          <w:color w:val="auto"/>
        </w:rPr>
      </w:pPr>
    </w:p>
    <w:p>
      <w:pPr>
        <w:jc w:val="both"/>
        <w:ind w:firstLine="8"/>
        <w:spacing w:after="0" w:line="282" w:lineRule="auto"/>
        <w:tabs>
          <w:tab w:leader="none" w:pos="658"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Confirmation of Lease</w:t>
      </w:r>
      <w:r>
        <w:rPr>
          <w:rFonts w:ascii="Arial" w:cs="Arial" w:eastAsia="Arial" w:hAnsi="Arial"/>
          <w:sz w:val="16"/>
          <w:szCs w:val="16"/>
          <w:color w:val="auto"/>
        </w:rPr>
        <w:t>. Except as amended by this Second Amendment, all terms and provisions of the Lease shall remain in full force and effect, and as further modified by this Second Amendment, is expressly ratified and confirmed by the parties hereto. This Second Amendment shall be binding upon and inure to the benefit of the parties hereto and their respective successors and assigns, subject to the provisions of the Lease regarding assignment and subletting.</w:t>
      </w:r>
    </w:p>
    <w:p>
      <w:pPr>
        <w:spacing w:after="0" w:line="119" w:lineRule="exact"/>
        <w:rPr>
          <w:rFonts w:ascii="Arial" w:cs="Arial" w:eastAsia="Arial" w:hAnsi="Arial"/>
          <w:sz w:val="16"/>
          <w:szCs w:val="16"/>
          <w:color w:val="auto"/>
        </w:rPr>
      </w:pPr>
    </w:p>
    <w:p>
      <w:pPr>
        <w:ind w:firstLine="8"/>
        <w:spacing w:after="0" w:line="246" w:lineRule="auto"/>
        <w:tabs>
          <w:tab w:leader="none" w:pos="658"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Governing Law; Interpretation and Partial Invalidity</w:t>
      </w:r>
      <w:r>
        <w:rPr>
          <w:rFonts w:ascii="Arial" w:cs="Arial" w:eastAsia="Arial" w:hAnsi="Arial"/>
          <w:sz w:val="18"/>
          <w:szCs w:val="18"/>
          <w:color w:val="auto"/>
        </w:rPr>
        <w:t>. This Second Amendment shall be governed and construed in accordance with the laws of the Commonwealth of Massachusetts. If any term of this Second Amendment, or the application thereof to any person or circumstances,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311390" cy="393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60"/>
          </w:cols>
          <w:pgMar w:left="220" w:top="298" w:right="219" w:bottom="1440" w:gutter="0" w:footer="0" w:header="0"/>
        </w:sectPr>
      </w:pPr>
    </w:p>
    <w:bookmarkStart w:id="70" w:name="page71"/>
    <w:bookmarkEnd w:id="70"/>
    <w:p>
      <w:pPr>
        <w:jc w:val="both"/>
        <w:spacing w:after="0" w:line="234" w:lineRule="auto"/>
        <w:rPr>
          <w:sz w:val="20"/>
          <w:szCs w:val="20"/>
          <w:color w:val="auto"/>
        </w:rPr>
      </w:pPr>
      <w:r>
        <w:rPr>
          <w:rFonts w:ascii="Arial" w:cs="Arial" w:eastAsia="Arial" w:hAnsi="Arial"/>
          <w:sz w:val="18"/>
          <w:szCs w:val="18"/>
          <w:color w:val="auto"/>
        </w:rPr>
        <w:t>shall to any extent be invalid or unenforceable, the remainder of this Second Amendment, or the application of such term to persons or circumstances other than those as to which it is invalid or unenforceable, shall not be affected thereby, and each term of this Second Amendment shall be valid and enforceable to the fullest extent permitted by law. The titles for the paragraphs are for convenience only and are not to be considered in construing this Second Amendment. This Second Amendment contains all of the agreements of the parties with respect to the subject matter hereof, and supersedes all prior dealings between them with respect to such subject matter.</w:t>
      </w:r>
    </w:p>
    <w:p>
      <w:pPr>
        <w:spacing w:after="0" w:line="154" w:lineRule="exact"/>
        <w:rPr>
          <w:sz w:val="20"/>
          <w:szCs w:val="20"/>
          <w:color w:val="auto"/>
        </w:rPr>
      </w:pPr>
    </w:p>
    <w:p>
      <w:pPr>
        <w:ind w:firstLine="8"/>
        <w:spacing w:after="0" w:line="246" w:lineRule="auto"/>
        <w:tabs>
          <w:tab w:leader="none" w:pos="746"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Binding Agreement</w:t>
      </w:r>
      <w:r>
        <w:rPr>
          <w:rFonts w:ascii="Arial" w:cs="Arial" w:eastAsia="Arial" w:hAnsi="Arial"/>
          <w:sz w:val="18"/>
          <w:szCs w:val="18"/>
          <w:color w:val="auto"/>
        </w:rPr>
        <w:t>. This document shall become effective and binding only upon the execution and delivery of this Second Amendment by both Landlord and Tenant.</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 PAGE TO FOLLOW]</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311390" cy="393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60"/>
          </w:cols>
          <w:pgMar w:left="220" w:top="298" w:right="219" w:bottom="1440" w:gutter="0" w:footer="0" w:header="0"/>
        </w:sectPr>
      </w:pPr>
    </w:p>
    <w:bookmarkStart w:id="71" w:name="page72"/>
    <w:bookmarkEnd w:id="71"/>
    <w:p>
      <w:pPr>
        <w:spacing w:after="0"/>
        <w:rPr>
          <w:sz w:val="20"/>
          <w:szCs w:val="20"/>
          <w:color w:val="auto"/>
        </w:rPr>
      </w:pPr>
      <w:r>
        <w:rPr>
          <w:rFonts w:ascii="Arial" w:cs="Arial" w:eastAsia="Arial" w:hAnsi="Arial"/>
          <w:sz w:val="15"/>
          <w:szCs w:val="15"/>
          <w:color w:val="auto"/>
        </w:rPr>
        <w:t>IN WITNESS WHEREOF, Landlord and Tenant have caused this Second Amendment to be executed as of the Effective Date.</w:t>
      </w:r>
    </w:p>
    <w:p>
      <w:pPr>
        <w:sectPr>
          <w:pgSz w:w="11900" w:h="16838" w:orient="portrait"/>
          <w:cols w:equalWidth="0" w:num="1">
            <w:col w:w="10239"/>
          </w:cols>
          <w:pgMar w:left="220" w:top="122" w:right="1440"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TWO CANAL PARK MASSACHUSETTS, LLC</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BAY STATE REIT, LLC</w:t>
            </w:r>
          </w:p>
        </w:tc>
      </w:tr>
      <w:tr>
        <w:trPr>
          <w:trHeight w:val="222"/>
        </w:trPr>
        <w:tc>
          <w:tcPr>
            <w:tcW w:w="860" w:type="dxa"/>
            <w:vAlign w:val="bottom"/>
          </w:tcPr>
          <w:p>
            <w:pPr>
              <w:spacing w:after="0"/>
              <w:rPr>
                <w:sz w:val="19"/>
                <w:szCs w:val="19"/>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a Delaware limited liability company, its Manager</w:t>
            </w:r>
          </w:p>
        </w:tc>
      </w:tr>
      <w:tr>
        <w:trPr>
          <w:trHeight w:val="359"/>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U.S. REAL ESTATE INVESTMENT FUND REIT, INC.</w:t>
            </w:r>
          </w:p>
        </w:tc>
      </w:tr>
      <w:tr>
        <w:trPr>
          <w:trHeight w:val="222"/>
        </w:trPr>
        <w:tc>
          <w:tcPr>
            <w:tcW w:w="860" w:type="dxa"/>
            <w:vAlign w:val="bottom"/>
          </w:tcPr>
          <w:p>
            <w:pPr>
              <w:spacing w:after="0"/>
              <w:rPr>
                <w:sz w:val="19"/>
                <w:szCs w:val="19"/>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a Delaware corporation, its Manager</w:t>
            </w:r>
          </w:p>
        </w:tc>
      </w:tr>
      <w:tr>
        <w:trPr>
          <w:trHeight w:val="376"/>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Taranto</w:t>
            </w:r>
          </w:p>
        </w:tc>
      </w:tr>
      <w:tr>
        <w:trPr>
          <w:trHeight w:val="172"/>
        </w:trPr>
        <w:tc>
          <w:tcPr>
            <w:tcW w:w="860" w:type="dxa"/>
            <w:vAlign w:val="bottom"/>
          </w:tcPr>
          <w:p>
            <w:pPr>
              <w:spacing w:after="0" w:line="171" w:lineRule="exact"/>
              <w:rPr>
                <w:sz w:val="20"/>
                <w:szCs w:val="20"/>
                <w:color w:val="auto"/>
              </w:rPr>
            </w:pPr>
            <w:r>
              <w:rPr>
                <w:rFonts w:ascii="Arial" w:cs="Arial" w:eastAsia="Arial" w:hAnsi="Arial"/>
                <w:sz w:val="18"/>
                <w:szCs w:val="18"/>
                <w:color w:val="auto"/>
              </w:rPr>
              <w:t>Name:</w:t>
            </w:r>
          </w:p>
        </w:tc>
        <w:tc>
          <w:tcPr>
            <w:tcW w:w="5440" w:type="dxa"/>
            <w:vAlign w:val="bottom"/>
          </w:tcPr>
          <w:p>
            <w:pPr>
              <w:spacing w:after="0" w:line="171" w:lineRule="exact"/>
              <w:rPr>
                <w:sz w:val="20"/>
                <w:szCs w:val="20"/>
                <w:color w:val="auto"/>
              </w:rPr>
            </w:pPr>
            <w:r>
              <w:rPr>
                <w:rFonts w:ascii="Arial" w:cs="Arial" w:eastAsia="Arial" w:hAnsi="Arial"/>
                <w:sz w:val="18"/>
                <w:szCs w:val="18"/>
                <w:color w:val="auto"/>
              </w:rPr>
              <w:t>Thomas Taranto</w:t>
            </w:r>
          </w:p>
        </w:tc>
      </w:t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544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384"/>
        </w:trPr>
        <w:tc>
          <w:tcPr>
            <w:tcW w:w="860" w:type="dxa"/>
            <w:vAlign w:val="bottom"/>
          </w:tcPr>
          <w:p>
            <w:pPr>
              <w:spacing w:after="0"/>
              <w:rPr>
                <w:sz w:val="20"/>
                <w:szCs w:val="20"/>
                <w:color w:val="auto"/>
              </w:rPr>
            </w:pPr>
            <w:r>
              <w:rPr>
                <w:rFonts w:ascii="Arial" w:cs="Arial" w:eastAsia="Arial" w:hAnsi="Arial"/>
                <w:sz w:val="18"/>
                <w:szCs w:val="18"/>
                <w:b w:val="1"/>
                <w:bCs w:val="1"/>
                <w:color w:val="auto"/>
              </w:rPr>
              <w:t>TENANT:</w:t>
            </w:r>
          </w:p>
        </w:tc>
        <w:tc>
          <w:tcPr>
            <w:tcW w:w="5440" w:type="dxa"/>
            <w:vAlign w:val="bottom"/>
          </w:tcPr>
          <w:p>
            <w:pPr>
              <w:spacing w:after="0"/>
              <w:rPr>
                <w:sz w:val="24"/>
                <w:szCs w:val="24"/>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HUBSPOT, INC.</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P. Kelleher</w:t>
            </w:r>
          </w:p>
        </w:tc>
      </w:tr>
      <w:tr>
        <w:trPr>
          <w:trHeight w:val="172"/>
        </w:trPr>
        <w:tc>
          <w:tcPr>
            <w:tcW w:w="860" w:type="dxa"/>
            <w:vAlign w:val="bottom"/>
          </w:tcPr>
          <w:p>
            <w:pPr>
              <w:spacing w:after="0" w:line="171" w:lineRule="exact"/>
              <w:rPr>
                <w:sz w:val="20"/>
                <w:szCs w:val="20"/>
                <w:color w:val="auto"/>
              </w:rPr>
            </w:pPr>
            <w:r>
              <w:rPr>
                <w:rFonts w:ascii="Arial" w:cs="Arial" w:eastAsia="Arial" w:hAnsi="Arial"/>
                <w:sz w:val="18"/>
                <w:szCs w:val="18"/>
                <w:color w:val="auto"/>
              </w:rPr>
              <w:t>Name:</w:t>
            </w:r>
          </w:p>
        </w:tc>
        <w:tc>
          <w:tcPr>
            <w:tcW w:w="5440" w:type="dxa"/>
            <w:vAlign w:val="bottom"/>
          </w:tcPr>
          <w:p>
            <w:pPr>
              <w:spacing w:after="0" w:line="171" w:lineRule="exact"/>
              <w:rPr>
                <w:sz w:val="20"/>
                <w:szCs w:val="20"/>
                <w:color w:val="auto"/>
              </w:rPr>
            </w:pPr>
            <w:r>
              <w:rPr>
                <w:rFonts w:ascii="Arial" w:cs="Arial" w:eastAsia="Arial" w:hAnsi="Arial"/>
                <w:sz w:val="18"/>
                <w:szCs w:val="18"/>
                <w:color w:val="auto"/>
              </w:rPr>
              <w:t>John P. Kelleher</w:t>
            </w:r>
          </w:p>
        </w:tc>
      </w:t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5440" w:type="dxa"/>
            <w:vAlign w:val="bottom"/>
          </w:tcPr>
          <w:p>
            <w:pPr>
              <w:spacing w:after="0"/>
              <w:rPr>
                <w:sz w:val="20"/>
                <w:szCs w:val="20"/>
                <w:color w:val="auto"/>
              </w:rPr>
            </w:pPr>
            <w:r>
              <w:rPr>
                <w:rFonts w:ascii="Arial" w:cs="Arial" w:eastAsia="Arial" w:hAnsi="Arial"/>
                <w:sz w:val="18"/>
                <w:szCs w:val="18"/>
                <w:color w:val="auto"/>
              </w:rPr>
              <w:t>General Counsel</w:t>
            </w:r>
          </w:p>
        </w:tc>
      </w:tr>
    </w:tbl>
    <w:p>
      <w:pPr>
        <w:spacing w:after="0" w:line="33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39"/>
          </w:cols>
          <w:pgMar w:left="220" w:top="122" w:right="1440" w:bottom="1440" w:gutter="0" w:footer="0" w:header="0"/>
          <w:type w:val="continuous"/>
        </w:sectPr>
      </w:pPr>
    </w:p>
    <w:bookmarkStart w:id="72" w:name="page73"/>
    <w:bookmarkEnd w:id="72"/>
    <w:p>
      <w:pPr>
        <w:jc w:val="right"/>
        <w:spacing w:after="0"/>
        <w:rPr>
          <w:sz w:val="20"/>
          <w:szCs w:val="20"/>
          <w:color w:val="auto"/>
        </w:rPr>
      </w:pPr>
      <w:r>
        <w:rPr>
          <w:rFonts w:ascii="Arial" w:cs="Arial" w:eastAsia="Arial" w:hAnsi="Arial"/>
          <w:sz w:val="15"/>
          <w:szCs w:val="15"/>
          <w:color w:val="auto"/>
        </w:rPr>
        <w:t>Exhibit 10.3</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 TO LEASE</w:t>
      </w:r>
    </w:p>
    <w:p>
      <w:pPr>
        <w:spacing w:after="0" w:line="166" w:lineRule="exact"/>
        <w:rPr>
          <w:sz w:val="20"/>
          <w:szCs w:val="20"/>
          <w:color w:val="auto"/>
        </w:rPr>
      </w:pPr>
    </w:p>
    <w:p>
      <w:pPr>
        <w:spacing w:after="0" w:line="315"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THIRD AMENDMENT TO LEASE</w:t>
      </w:r>
      <w:r>
        <w:rPr>
          <w:rFonts w:ascii="Arial" w:cs="Arial" w:eastAsia="Arial" w:hAnsi="Arial"/>
          <w:sz w:val="16"/>
          <w:szCs w:val="16"/>
          <w:color w:val="auto"/>
        </w:rPr>
        <w:t xml:space="preserve"> (the “</w:t>
      </w:r>
      <w:r>
        <w:rPr>
          <w:rFonts w:ascii="Arial" w:cs="Arial" w:eastAsia="Arial" w:hAnsi="Arial"/>
          <w:sz w:val="16"/>
          <w:szCs w:val="16"/>
          <w:b w:val="1"/>
          <w:bCs w:val="1"/>
          <w:color w:val="auto"/>
        </w:rPr>
        <w:t>Third Amendment</w:t>
      </w:r>
      <w:r>
        <w:rPr>
          <w:rFonts w:ascii="Arial" w:cs="Arial" w:eastAsia="Arial" w:hAnsi="Arial"/>
          <w:sz w:val="16"/>
          <w:szCs w:val="16"/>
          <w:color w:val="auto"/>
        </w:rPr>
        <w:t>”) dated this 2nd day of May, 2018 (the “</w:t>
      </w:r>
      <w:r>
        <w:rPr>
          <w:rFonts w:ascii="Arial" w:cs="Arial" w:eastAsia="Arial" w:hAnsi="Arial"/>
          <w:sz w:val="16"/>
          <w:szCs w:val="16"/>
          <w:b w:val="1"/>
          <w:bCs w:val="1"/>
          <w:color w:val="auto"/>
        </w:rPr>
        <w:t>Effective Date</w:t>
      </w:r>
      <w:r>
        <w:rPr>
          <w:rFonts w:ascii="Arial" w:cs="Arial" w:eastAsia="Arial" w:hAnsi="Arial"/>
          <w:sz w:val="16"/>
          <w:szCs w:val="16"/>
          <w:color w:val="auto"/>
        </w:rPr>
        <w:t xml:space="preserve">”) is made by and between </w:t>
      </w:r>
      <w:r>
        <w:rPr>
          <w:rFonts w:ascii="Arial" w:cs="Arial" w:eastAsia="Arial" w:hAnsi="Arial"/>
          <w:sz w:val="16"/>
          <w:szCs w:val="16"/>
          <w:b w:val="1"/>
          <w:bCs w:val="1"/>
          <w:color w:val="auto"/>
        </w:rPr>
        <w:t>ONE</w:t>
      </w:r>
      <w:r>
        <w:rPr>
          <w:rFonts w:ascii="Arial" w:cs="Arial" w:eastAsia="Arial" w:hAnsi="Arial"/>
          <w:sz w:val="16"/>
          <w:szCs w:val="16"/>
          <w:color w:val="auto"/>
        </w:rPr>
        <w:t xml:space="preserve"> </w:t>
      </w:r>
      <w:r>
        <w:rPr>
          <w:rFonts w:ascii="Arial" w:cs="Arial" w:eastAsia="Arial" w:hAnsi="Arial"/>
          <w:sz w:val="16"/>
          <w:szCs w:val="16"/>
          <w:b w:val="1"/>
          <w:bCs w:val="1"/>
          <w:color w:val="auto"/>
        </w:rPr>
        <w:t>CANAL PARK MASSACHUSETTS</w:t>
      </w:r>
      <w:r>
        <w:rPr>
          <w:rFonts w:ascii="Arial" w:cs="Arial" w:eastAsia="Arial" w:hAnsi="Arial"/>
          <w:sz w:val="16"/>
          <w:szCs w:val="16"/>
          <w:color w:val="auto"/>
        </w:rPr>
        <w:t>,</w:t>
      </w:r>
      <w:r>
        <w:rPr>
          <w:rFonts w:ascii="Arial" w:cs="Arial" w:eastAsia="Arial" w:hAnsi="Arial"/>
          <w:sz w:val="16"/>
          <w:szCs w:val="16"/>
          <w:b w:val="1"/>
          <w:bCs w:val="1"/>
          <w:color w:val="auto"/>
        </w:rPr>
        <w:t xml:space="preserve"> LLC</w:t>
      </w:r>
      <w:r>
        <w:rPr>
          <w:rFonts w:ascii="Arial" w:cs="Arial" w:eastAsia="Arial" w:hAnsi="Arial"/>
          <w:sz w:val="16"/>
          <w:szCs w:val="16"/>
          <w:color w:val="auto"/>
        </w:rPr>
        <w:t>, a Delaware limited liability company (“</w:t>
      </w:r>
      <w:r>
        <w:rPr>
          <w:rFonts w:ascii="Arial" w:cs="Arial" w:eastAsia="Arial" w:hAnsi="Arial"/>
          <w:sz w:val="16"/>
          <w:szCs w:val="16"/>
          <w:b w:val="1"/>
          <w:bCs w:val="1"/>
          <w:color w:val="auto"/>
        </w:rPr>
        <w:t>Landlord</w:t>
      </w:r>
      <w:r>
        <w:rPr>
          <w:rFonts w:ascii="Arial" w:cs="Arial" w:eastAsia="Arial" w:hAnsi="Arial"/>
          <w:sz w:val="16"/>
          <w:szCs w:val="16"/>
          <w:color w:val="auto"/>
        </w:rPr>
        <w:t>”), and</w:t>
      </w:r>
      <w:r>
        <w:rPr>
          <w:rFonts w:ascii="Arial" w:cs="Arial" w:eastAsia="Arial" w:hAnsi="Arial"/>
          <w:sz w:val="16"/>
          <w:szCs w:val="16"/>
          <w:b w:val="1"/>
          <w:bCs w:val="1"/>
          <w:color w:val="auto"/>
        </w:rPr>
        <w:t xml:space="preserve"> HUBSPOT, INC.</w:t>
      </w:r>
      <w:r>
        <w:rPr>
          <w:rFonts w:ascii="Arial" w:cs="Arial" w:eastAsia="Arial" w:hAnsi="Arial"/>
          <w:sz w:val="16"/>
          <w:szCs w:val="16"/>
          <w:color w:val="auto"/>
        </w:rPr>
        <w:t>, a Delaware corporation (“</w:t>
      </w:r>
      <w:r>
        <w:rPr>
          <w:rFonts w:ascii="Arial" w:cs="Arial" w:eastAsia="Arial" w:hAnsi="Arial"/>
          <w:sz w:val="16"/>
          <w:szCs w:val="16"/>
          <w:b w:val="1"/>
          <w:bCs w:val="1"/>
          <w:color w:val="auto"/>
        </w:rPr>
        <w:t>Tenant</w:t>
      </w:r>
      <w:r>
        <w:rPr>
          <w:rFonts w:ascii="Arial" w:cs="Arial" w:eastAsia="Arial" w:hAnsi="Arial"/>
          <w:sz w:val="16"/>
          <w:szCs w:val="16"/>
          <w:color w:val="auto"/>
        </w:rPr>
        <w: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72" w:lineRule="exact"/>
        <w:rPr>
          <w:sz w:val="20"/>
          <w:szCs w:val="20"/>
          <w:color w:val="auto"/>
        </w:rPr>
      </w:pPr>
    </w:p>
    <w:p>
      <w:pPr>
        <w:jc w:val="both"/>
        <w:ind w:firstLine="8"/>
        <w:spacing w:after="0" w:line="265" w:lineRule="auto"/>
        <w:tabs>
          <w:tab w:leader="none" w:pos="697" w:val="left"/>
        </w:tabs>
        <w:numPr>
          <w:ilvl w:val="0"/>
          <w:numId w:val="40"/>
        </w:numPr>
        <w:rPr>
          <w:rFonts w:ascii="Arial" w:cs="Arial" w:eastAsia="Arial" w:hAnsi="Arial"/>
          <w:sz w:val="16"/>
          <w:szCs w:val="16"/>
          <w:color w:val="auto"/>
        </w:rPr>
      </w:pPr>
      <w:r>
        <w:rPr>
          <w:rFonts w:ascii="Arial" w:cs="Arial" w:eastAsia="Arial" w:hAnsi="Arial"/>
          <w:sz w:val="16"/>
          <w:szCs w:val="16"/>
          <w:color w:val="auto"/>
        </w:rPr>
        <w:t>WHEREAS, Landlord and Tenant entered into that certain Lease dated October 7, 2016, as amended by that certain First Amendment to Lease dated February 14, 2017, as amended by Second Amendment to Lease (the “</w:t>
      </w:r>
      <w:r>
        <w:rPr>
          <w:rFonts w:ascii="Arial" w:cs="Arial" w:eastAsia="Arial" w:hAnsi="Arial"/>
          <w:sz w:val="16"/>
          <w:szCs w:val="16"/>
          <w:b w:val="1"/>
          <w:bCs w:val="1"/>
          <w:color w:val="auto"/>
        </w:rPr>
        <w:t>Second Amendment</w:t>
      </w:r>
      <w:r>
        <w:rPr>
          <w:rFonts w:ascii="Arial" w:cs="Arial" w:eastAsia="Arial" w:hAnsi="Arial"/>
          <w:sz w:val="16"/>
          <w:szCs w:val="16"/>
          <w:color w:val="auto"/>
        </w:rPr>
        <w:t>”) dated March 12, 2018 (collectively, the “</w:t>
      </w:r>
      <w:r>
        <w:rPr>
          <w:rFonts w:ascii="Arial" w:cs="Arial" w:eastAsia="Arial" w:hAnsi="Arial"/>
          <w:sz w:val="16"/>
          <w:szCs w:val="16"/>
          <w:b w:val="1"/>
          <w:bCs w:val="1"/>
          <w:color w:val="auto"/>
        </w:rPr>
        <w:t>Lease</w:t>
      </w:r>
      <w:r>
        <w:rPr>
          <w:rFonts w:ascii="Arial" w:cs="Arial" w:eastAsia="Arial" w:hAnsi="Arial"/>
          <w:sz w:val="16"/>
          <w:szCs w:val="16"/>
          <w:color w:val="auto"/>
        </w:rPr>
        <w:t>”) whereby Tenant leases from Landlord certain premises consisting of approximately 55,386 rentable square feet, comprised of: (i) 16,750 rentable square feet on the second (2</w:t>
      </w:r>
      <w:r>
        <w:rPr>
          <w:rFonts w:ascii="Arial" w:cs="Arial" w:eastAsia="Arial" w:hAnsi="Arial"/>
          <w:sz w:val="13"/>
          <w:szCs w:val="13"/>
          <w:color w:val="auto"/>
        </w:rPr>
        <w:t>nd</w:t>
      </w:r>
      <w:r>
        <w:rPr>
          <w:rFonts w:ascii="Arial" w:cs="Arial" w:eastAsia="Arial" w:hAnsi="Arial"/>
          <w:sz w:val="16"/>
          <w:szCs w:val="16"/>
          <w:color w:val="auto"/>
        </w:rPr>
        <w:t>) floor (“</w:t>
      </w:r>
      <w:r>
        <w:rPr>
          <w:rFonts w:ascii="Arial" w:cs="Arial" w:eastAsia="Arial" w:hAnsi="Arial"/>
          <w:sz w:val="16"/>
          <w:szCs w:val="16"/>
          <w:b w:val="1"/>
          <w:bCs w:val="1"/>
          <w:color w:val="auto"/>
        </w:rPr>
        <w:t>Premises A</w:t>
      </w:r>
      <w:r>
        <w:rPr>
          <w:rFonts w:ascii="Arial" w:cs="Arial" w:eastAsia="Arial" w:hAnsi="Arial"/>
          <w:sz w:val="16"/>
          <w:szCs w:val="16"/>
          <w:color w:val="auto"/>
        </w:rPr>
        <w:t>”); (ii) approximately 8,562 rentable square feet on the second (2</w:t>
      </w:r>
      <w:r>
        <w:rPr>
          <w:rFonts w:ascii="Arial" w:cs="Arial" w:eastAsia="Arial" w:hAnsi="Arial"/>
          <w:sz w:val="13"/>
          <w:szCs w:val="13"/>
          <w:color w:val="auto"/>
        </w:rPr>
        <w:t>nd</w:t>
      </w:r>
      <w:r>
        <w:rPr>
          <w:rFonts w:ascii="Arial" w:cs="Arial" w:eastAsia="Arial" w:hAnsi="Arial"/>
          <w:sz w:val="16"/>
          <w:szCs w:val="16"/>
          <w:color w:val="auto"/>
        </w:rPr>
        <w:t>) floor (“</w:t>
      </w:r>
      <w:r>
        <w:rPr>
          <w:rFonts w:ascii="Arial" w:cs="Arial" w:eastAsia="Arial" w:hAnsi="Arial"/>
          <w:sz w:val="16"/>
          <w:szCs w:val="16"/>
          <w:b w:val="1"/>
          <w:bCs w:val="1"/>
          <w:color w:val="auto"/>
        </w:rPr>
        <w:t>Premises B</w:t>
      </w:r>
      <w:r>
        <w:rPr>
          <w:rFonts w:ascii="Arial" w:cs="Arial" w:eastAsia="Arial" w:hAnsi="Arial"/>
          <w:sz w:val="16"/>
          <w:szCs w:val="16"/>
          <w:color w:val="auto"/>
        </w:rPr>
        <w:t>”); (iii) approximately 9,022 rentable square feet on fourth (4th) floor of the Building (“</w:t>
      </w:r>
      <w:r>
        <w:rPr>
          <w:rFonts w:ascii="Arial" w:cs="Arial" w:eastAsia="Arial" w:hAnsi="Arial"/>
          <w:sz w:val="16"/>
          <w:szCs w:val="16"/>
          <w:b w:val="1"/>
          <w:bCs w:val="1"/>
          <w:color w:val="auto"/>
        </w:rPr>
        <w:t>Premises C</w:t>
      </w:r>
      <w:r>
        <w:rPr>
          <w:rFonts w:ascii="Arial" w:cs="Arial" w:eastAsia="Arial" w:hAnsi="Arial"/>
          <w:sz w:val="16"/>
          <w:szCs w:val="16"/>
          <w:color w:val="auto"/>
        </w:rPr>
        <w:t>”); (iv) approximately 21,052 rentable square feet on the fourth (4</w:t>
      </w:r>
      <w:r>
        <w:rPr>
          <w:rFonts w:ascii="Arial" w:cs="Arial" w:eastAsia="Arial" w:hAnsi="Arial"/>
          <w:sz w:val="13"/>
          <w:szCs w:val="13"/>
          <w:color w:val="auto"/>
        </w:rPr>
        <w:t>th</w:t>
      </w:r>
      <w:r>
        <w:rPr>
          <w:rFonts w:ascii="Arial" w:cs="Arial" w:eastAsia="Arial" w:hAnsi="Arial"/>
          <w:sz w:val="16"/>
          <w:szCs w:val="16"/>
          <w:color w:val="auto"/>
        </w:rPr>
        <w:t>) floor of the Building (“</w:t>
      </w:r>
      <w:r>
        <w:rPr>
          <w:rFonts w:ascii="Arial" w:cs="Arial" w:eastAsia="Arial" w:hAnsi="Arial"/>
          <w:sz w:val="16"/>
          <w:szCs w:val="16"/>
          <w:b w:val="1"/>
          <w:bCs w:val="1"/>
          <w:color w:val="auto"/>
        </w:rPr>
        <w:t>Premises D</w:t>
      </w:r>
      <w:r>
        <w:rPr>
          <w:rFonts w:ascii="Arial" w:cs="Arial" w:eastAsia="Arial" w:hAnsi="Arial"/>
          <w:sz w:val="16"/>
          <w:szCs w:val="16"/>
          <w:color w:val="auto"/>
        </w:rPr>
        <w:t>”); and (v) approximately 10,109 rentable square feet on the first (1</w:t>
      </w:r>
      <w:r>
        <w:rPr>
          <w:rFonts w:ascii="Arial" w:cs="Arial" w:eastAsia="Arial" w:hAnsi="Arial"/>
          <w:sz w:val="13"/>
          <w:szCs w:val="13"/>
          <w:color w:val="auto"/>
        </w:rPr>
        <w:t>st</w:t>
      </w:r>
      <w:r>
        <w:rPr>
          <w:rFonts w:ascii="Arial" w:cs="Arial" w:eastAsia="Arial" w:hAnsi="Arial"/>
          <w:sz w:val="16"/>
          <w:szCs w:val="16"/>
          <w:color w:val="auto"/>
        </w:rPr>
        <w:t>) floor of the Building (collectively, Premises A, Premises B, Premises C and Premises D shall be known as the “</w:t>
      </w:r>
      <w:r>
        <w:rPr>
          <w:rFonts w:ascii="Arial" w:cs="Arial" w:eastAsia="Arial" w:hAnsi="Arial"/>
          <w:sz w:val="16"/>
          <w:szCs w:val="16"/>
          <w:b w:val="1"/>
          <w:bCs w:val="1"/>
          <w:color w:val="auto"/>
        </w:rPr>
        <w:t>Existing Premises</w:t>
      </w:r>
      <w:r>
        <w:rPr>
          <w:rFonts w:ascii="Arial" w:cs="Arial" w:eastAsia="Arial" w:hAnsi="Arial"/>
          <w:sz w:val="16"/>
          <w:szCs w:val="16"/>
          <w:color w:val="auto"/>
        </w:rPr>
        <w:t>”) in the building located at One Canal Park, Cambridge, Massachusetts (the “</w:t>
      </w:r>
      <w:r>
        <w:rPr>
          <w:rFonts w:ascii="Arial" w:cs="Arial" w:eastAsia="Arial" w:hAnsi="Arial"/>
          <w:sz w:val="16"/>
          <w:szCs w:val="16"/>
          <w:b w:val="1"/>
          <w:bCs w:val="1"/>
          <w:color w:val="auto"/>
        </w:rPr>
        <w:t>Building</w:t>
      </w:r>
      <w:r>
        <w:rPr>
          <w:rFonts w:ascii="Arial" w:cs="Arial" w:eastAsia="Arial" w:hAnsi="Arial"/>
          <w:sz w:val="16"/>
          <w:szCs w:val="16"/>
          <w:color w:val="auto"/>
        </w:rPr>
        <w:t>”); and</w:t>
      </w:r>
    </w:p>
    <w:p>
      <w:pPr>
        <w:spacing w:after="0" w:line="129" w:lineRule="exact"/>
        <w:rPr>
          <w:rFonts w:ascii="Arial" w:cs="Arial" w:eastAsia="Arial" w:hAnsi="Arial"/>
          <w:sz w:val="16"/>
          <w:szCs w:val="16"/>
          <w:color w:val="auto"/>
        </w:rPr>
      </w:pPr>
    </w:p>
    <w:p>
      <w:pPr>
        <w:jc w:val="both"/>
        <w:ind w:firstLine="8"/>
        <w:spacing w:after="0" w:line="241" w:lineRule="auto"/>
        <w:tabs>
          <w:tab w:leader="none" w:pos="687"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WHEREAS, the Term of the Lease was originally scheduled to expire on January 31, 2026 (the “</w:t>
      </w:r>
      <w:r>
        <w:rPr>
          <w:rFonts w:ascii="Arial" w:cs="Arial" w:eastAsia="Arial" w:hAnsi="Arial"/>
          <w:sz w:val="18"/>
          <w:szCs w:val="18"/>
          <w:b w:val="1"/>
          <w:bCs w:val="1"/>
          <w:color w:val="auto"/>
        </w:rPr>
        <w:t>Original Term</w:t>
      </w:r>
      <w:r>
        <w:rPr>
          <w:rFonts w:ascii="Arial" w:cs="Arial" w:eastAsia="Arial" w:hAnsi="Arial"/>
          <w:sz w:val="18"/>
          <w:szCs w:val="18"/>
          <w:color w:val="auto"/>
        </w:rPr>
        <w:t>”) and was extended pursuant to the Second Amendment for the “Stub Term” commencing on February 1, 2026 and expiring on April 30, 2029 (the “</w:t>
      </w:r>
      <w:r>
        <w:rPr>
          <w:rFonts w:ascii="Arial" w:cs="Arial" w:eastAsia="Arial" w:hAnsi="Arial"/>
          <w:sz w:val="18"/>
          <w:szCs w:val="18"/>
          <w:b w:val="1"/>
          <w:bCs w:val="1"/>
          <w:color w:val="auto"/>
        </w:rPr>
        <w:t>Stub Term</w:t>
      </w:r>
      <w:r>
        <w:rPr>
          <w:rFonts w:ascii="Arial" w:cs="Arial" w:eastAsia="Arial" w:hAnsi="Arial"/>
          <w:sz w:val="18"/>
          <w:szCs w:val="18"/>
          <w:color w:val="auto"/>
        </w:rPr>
        <w:t>” and together with the Original Term,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150" w:lineRule="exact"/>
        <w:rPr>
          <w:rFonts w:ascii="Arial" w:cs="Arial" w:eastAsia="Arial" w:hAnsi="Arial"/>
          <w:sz w:val="18"/>
          <w:szCs w:val="18"/>
          <w:color w:val="auto"/>
        </w:rPr>
      </w:pPr>
    </w:p>
    <w:p>
      <w:pPr>
        <w:ind w:left="700" w:hanging="692"/>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WHEREAS, Landlord and Tenant desire to provide for a potentially earlier Commencement Date with respect to Premises B.</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17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NOW THEREFORE, in consideration of the promises contained herein and other good and valuable consideration, the receipt of which is hereby acknowledged, the parties agree as follows:</w:t>
      </w:r>
    </w:p>
    <w:p>
      <w:pPr>
        <w:spacing w:after="0" w:line="146"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 xml:space="preserve"> The recitals set forth above are incorporated herein and made a part of this Third Amendment as if set forth herein in full.</w:t>
      </w:r>
    </w:p>
    <w:p>
      <w:pPr>
        <w:spacing w:after="0" w:line="165" w:lineRule="exact"/>
        <w:rPr>
          <w:rFonts w:ascii="Arial" w:cs="Arial" w:eastAsia="Arial" w:hAnsi="Arial"/>
          <w:sz w:val="18"/>
          <w:szCs w:val="18"/>
          <w:color w:val="auto"/>
        </w:rPr>
      </w:pPr>
    </w:p>
    <w:p>
      <w:pPr>
        <w:jc w:val="both"/>
        <w:ind w:firstLine="8"/>
        <w:spacing w:after="0" w:line="238" w:lineRule="auto"/>
        <w:tabs>
          <w:tab w:leader="none" w:pos="65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xml:space="preserve"> All capitalized terms used in this Third Amendment that are not defined in this Third Amendment shall have the meanings ascribed to such terms in the Lease. In the event of any conflict between the terms of the Lease and the terms of this Third Amendment, the definitions set forth in this Third Amendment shall control.</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311390" cy="393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73" w:name="page74"/>
    <w:bookmarkEnd w:id="73"/>
    <w:p>
      <w:pPr>
        <w:ind w:left="10740"/>
        <w:spacing w:after="0"/>
        <w:rPr>
          <w:sz w:val="20"/>
          <w:szCs w:val="20"/>
          <w:color w:val="auto"/>
        </w:rPr>
      </w:pPr>
      <w:r>
        <w:rPr>
          <w:rFonts w:ascii="Arial" w:cs="Arial" w:eastAsia="Arial" w:hAnsi="Arial"/>
          <w:sz w:val="13"/>
          <w:szCs w:val="13"/>
          <w:color w:val="auto"/>
        </w:rPr>
        <w:t>Exhibit 10.3</w:t>
      </w:r>
    </w:p>
    <w:p>
      <w:pPr>
        <w:spacing w:after="0" w:line="34" w:lineRule="exact"/>
        <w:rPr>
          <w:sz w:val="20"/>
          <w:szCs w:val="20"/>
          <w:color w:val="auto"/>
        </w:rPr>
      </w:pPr>
    </w:p>
    <w:p>
      <w:pPr>
        <w:jc w:val="both"/>
        <w:ind w:firstLine="8"/>
        <w:spacing w:after="0" w:line="231" w:lineRule="auto"/>
        <w:tabs>
          <w:tab w:leader="none" w:pos="658"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Commencement Date for Premises B.</w:t>
      </w:r>
      <w:r>
        <w:rPr>
          <w:rFonts w:ascii="Arial" w:cs="Arial" w:eastAsia="Arial" w:hAnsi="Arial"/>
          <w:sz w:val="18"/>
          <w:szCs w:val="18"/>
          <w:color w:val="auto"/>
        </w:rPr>
        <w:t xml:space="preserve"> The Commencement Date with respect to Premises B shall be amended to be the later date to occur of (i) the date Landlord delivers possession of Premises B to Tenant vacant, broom clean, free of tenants, occupants, property and debris, in compliance with all applicable Laws and free of all Hazardous Materials that are required to be removed, remediated, or encapsulated pursuant to applicable Environmental Laws and with the roof, structural elements and base building systems including, without limitation, HVAC, mechanical, plumbing, electrical, elevator services, roofing, fire safety access and emergency egress systems serving the Premises in good working order, and (ii) January 1, 2019. In no event shall Landlord deliver Premises B to Tenant prior to January 1, 2019.</w:t>
      </w:r>
    </w:p>
    <w:p>
      <w:pPr>
        <w:spacing w:after="0" w:line="150"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Rent Commencement Date for Premises B.</w:t>
      </w:r>
      <w:r>
        <w:rPr>
          <w:rFonts w:ascii="Arial" w:cs="Arial" w:eastAsia="Arial" w:hAnsi="Arial"/>
          <w:sz w:val="16"/>
          <w:szCs w:val="16"/>
          <w:color w:val="auto"/>
        </w:rPr>
        <w:t xml:space="preserve"> The Rent Commencement Date with respect to Premises B shall be amended to be the later date to occur of</w:t>
      </w:r>
    </w:p>
    <w:p>
      <w:pPr>
        <w:spacing w:after="0" w:line="2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 three (3) months following the Commencement Date for Premises B, and (ii) April 1, 2019.</w:t>
      </w:r>
    </w:p>
    <w:p>
      <w:pPr>
        <w:spacing w:after="0" w:line="151" w:lineRule="exact"/>
        <w:rPr>
          <w:rFonts w:ascii="Arial" w:cs="Arial" w:eastAsia="Arial" w:hAnsi="Arial"/>
          <w:sz w:val="16"/>
          <w:szCs w:val="16"/>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Yearly Rent for Premises B</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jc w:val="both"/>
        <w:ind w:left="1320" w:hanging="435"/>
        <w:spacing w:after="0" w:line="238" w:lineRule="auto"/>
        <w:tabs>
          <w:tab w:leader="none" w:pos="13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Effective as of the Rent Commencement Date for Premises B, Tenant shall pay Yearly Rent with respect to Premises B for the remainder of the Original Term in accordance with the following schedule and in accordance with all other terms and conditions applicable to the payment of Yearly Rent under the Lease:</w:t>
      </w:r>
    </w:p>
    <w:p>
      <w:pPr>
        <w:spacing w:after="0" w:line="149" w:lineRule="exact"/>
        <w:rPr>
          <w:sz w:val="20"/>
          <w:szCs w:val="20"/>
          <w:color w:val="auto"/>
        </w:rPr>
      </w:pPr>
    </w:p>
    <w:tbl>
      <w:tblPr>
        <w:tblLayout w:type="fixed"/>
        <w:tblInd w:w="130" w:type="dxa"/>
        <w:tblCellMar>
          <w:top w:w="0" w:type="dxa"/>
          <w:left w:w="0" w:type="dxa"/>
          <w:bottom w:w="0" w:type="dxa"/>
          <w:right w:w="0" w:type="dxa"/>
        </w:tblCellMar>
      </w:tblPr>
      <w:tr>
        <w:trPr>
          <w:trHeight w:val="176"/>
        </w:trPr>
        <w:tc>
          <w:tcPr>
            <w:tcW w:w="4180" w:type="dxa"/>
            <w:vAlign w:val="bottom"/>
            <w:tcBorders>
              <w:top w:val="single" w:sz="8" w:color="auto"/>
              <w:left w:val="single" w:sz="8" w:color="auto"/>
              <w:right w:val="single" w:sz="8" w:color="auto"/>
            </w:tcBorders>
            <w:gridSpan w:val="3"/>
          </w:tcPr>
          <w:p>
            <w:pPr>
              <w:ind w:left="260"/>
              <w:spacing w:after="0" w:line="176" w:lineRule="exact"/>
              <w:rPr>
                <w:sz w:val="20"/>
                <w:szCs w:val="20"/>
                <w:color w:val="auto"/>
              </w:rPr>
            </w:pPr>
            <w:r>
              <w:rPr>
                <w:rFonts w:ascii="Arial" w:cs="Arial" w:eastAsia="Arial" w:hAnsi="Arial"/>
                <w:sz w:val="18"/>
                <w:szCs w:val="18"/>
                <w:color w:val="auto"/>
              </w:rPr>
              <w:t>Lease Year</w:t>
            </w:r>
          </w:p>
        </w:tc>
        <w:tc>
          <w:tcPr>
            <w:tcW w:w="2040" w:type="dxa"/>
            <w:vAlign w:val="bottom"/>
            <w:tcBorders>
              <w:top w:val="single" w:sz="8" w:color="auto"/>
              <w:right w:val="single" w:sz="8" w:color="auto"/>
            </w:tcBorders>
            <w:gridSpan w:val="2"/>
          </w:tcPr>
          <w:p>
            <w:pPr>
              <w:spacing w:after="0" w:line="176" w:lineRule="exact"/>
              <w:rPr>
                <w:sz w:val="20"/>
                <w:szCs w:val="20"/>
                <w:color w:val="auto"/>
              </w:rPr>
            </w:pPr>
            <w:r>
              <w:rPr>
                <w:rFonts w:ascii="Arial" w:cs="Arial" w:eastAsia="Arial" w:hAnsi="Arial"/>
                <w:sz w:val="18"/>
                <w:szCs w:val="18"/>
                <w:color w:val="auto"/>
              </w:rPr>
              <w:t>Yearly Rent</w:t>
            </w:r>
          </w:p>
        </w:tc>
        <w:tc>
          <w:tcPr>
            <w:tcW w:w="240" w:type="dxa"/>
            <w:vAlign w:val="bottom"/>
            <w:tcBorders>
              <w:top w:val="single" w:sz="8" w:color="auto"/>
            </w:tcBorders>
          </w:tcPr>
          <w:p>
            <w:pPr>
              <w:spacing w:after="0"/>
              <w:rPr>
                <w:sz w:val="15"/>
                <w:szCs w:val="15"/>
                <w:color w:val="auto"/>
              </w:rPr>
            </w:pPr>
          </w:p>
        </w:tc>
        <w:tc>
          <w:tcPr>
            <w:tcW w:w="2160" w:type="dxa"/>
            <w:vAlign w:val="bottom"/>
            <w:tcBorders>
              <w:top w:val="single" w:sz="8" w:color="auto"/>
              <w:right w:val="single" w:sz="8" w:color="auto"/>
            </w:tcBorders>
            <w:gridSpan w:val="2"/>
          </w:tcPr>
          <w:p>
            <w:pPr>
              <w:spacing w:after="0" w:line="176" w:lineRule="exact"/>
              <w:rPr>
                <w:sz w:val="20"/>
                <w:szCs w:val="20"/>
                <w:color w:val="auto"/>
              </w:rPr>
            </w:pPr>
            <w:r>
              <w:rPr>
                <w:rFonts w:ascii="Arial" w:cs="Arial" w:eastAsia="Arial" w:hAnsi="Arial"/>
                <w:sz w:val="18"/>
                <w:szCs w:val="18"/>
                <w:color w:val="auto"/>
              </w:rPr>
              <w:t>Monthly Payment</w:t>
            </w:r>
          </w:p>
        </w:tc>
        <w:tc>
          <w:tcPr>
            <w:tcW w:w="260" w:type="dxa"/>
            <w:vAlign w:val="bottom"/>
            <w:tcBorders>
              <w:top w:val="single" w:sz="8" w:color="auto"/>
            </w:tcBorders>
          </w:tcPr>
          <w:p>
            <w:pPr>
              <w:spacing w:after="0"/>
              <w:rPr>
                <w:sz w:val="15"/>
                <w:szCs w:val="15"/>
                <w:color w:val="auto"/>
              </w:rPr>
            </w:pPr>
          </w:p>
        </w:tc>
        <w:tc>
          <w:tcPr>
            <w:tcW w:w="2460" w:type="dxa"/>
            <w:vAlign w:val="bottom"/>
            <w:tcBorders>
              <w:top w:val="single" w:sz="8" w:color="auto"/>
              <w:right w:val="single" w:sz="8" w:color="auto"/>
            </w:tcBorders>
            <w:gridSpan w:val="2"/>
          </w:tcPr>
          <w:p>
            <w:pPr>
              <w:spacing w:after="0" w:line="176" w:lineRule="exact"/>
              <w:rPr>
                <w:sz w:val="20"/>
                <w:szCs w:val="20"/>
                <w:color w:val="auto"/>
              </w:rPr>
            </w:pPr>
            <w:r>
              <w:rPr>
                <w:rFonts w:ascii="Arial" w:cs="Arial" w:eastAsia="Arial" w:hAnsi="Arial"/>
                <w:sz w:val="18"/>
                <w:szCs w:val="18"/>
                <w:color w:val="auto"/>
              </w:rPr>
              <w:t>Per Rentable Square Foot</w:t>
            </w:r>
          </w:p>
        </w:tc>
        <w:tc>
          <w:tcPr>
            <w:tcW w:w="0" w:type="dxa"/>
            <w:vAlign w:val="bottom"/>
          </w:tcPr>
          <w:p>
            <w:pPr>
              <w:spacing w:after="0"/>
              <w:rPr>
                <w:sz w:val="1"/>
                <w:szCs w:val="1"/>
                <w:color w:val="auto"/>
              </w:rPr>
            </w:pPr>
          </w:p>
        </w:tc>
      </w:tr>
      <w:tr>
        <w:trPr>
          <w:trHeight w:val="177"/>
        </w:trPr>
        <w:tc>
          <w:tcPr>
            <w:tcW w:w="260" w:type="dxa"/>
            <w:vAlign w:val="bottom"/>
            <w:tcBorders>
              <w:left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3140" w:type="dxa"/>
            <w:vAlign w:val="bottom"/>
            <w:tcBorders>
              <w:bottom w:val="single" w:sz="8" w:color="auto"/>
              <w:right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122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0" w:type="dxa"/>
            <w:vAlign w:val="bottom"/>
            <w:tcBorders>
              <w:top w:val="single" w:sz="8" w:color="auto"/>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180" w:type="dxa"/>
            <w:vAlign w:val="bottom"/>
            <w:tcBorders>
              <w:left w:val="single" w:sz="8" w:color="auto"/>
              <w:right w:val="single" w:sz="8" w:color="auto"/>
            </w:tcBorders>
            <w:gridSpan w:val="3"/>
          </w:tcPr>
          <w:p>
            <w:pPr>
              <w:spacing w:after="0" w:line="171" w:lineRule="exact"/>
              <w:rPr>
                <w:sz w:val="20"/>
                <w:szCs w:val="20"/>
                <w:color w:val="auto"/>
              </w:rPr>
            </w:pPr>
            <w:r>
              <w:rPr>
                <w:rFonts w:ascii="Arial" w:cs="Arial" w:eastAsia="Arial" w:hAnsi="Arial"/>
                <w:sz w:val="18"/>
                <w:szCs w:val="18"/>
                <w:color w:val="auto"/>
              </w:rPr>
              <w:t>January 1, 2019 –</w:t>
            </w:r>
          </w:p>
        </w:tc>
        <w:tc>
          <w:tcPr>
            <w:tcW w:w="820" w:type="dxa"/>
            <w:vAlign w:val="bottom"/>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500" w:type="dxa"/>
            <w:vAlign w:val="bottom"/>
            <w:gridSpan w:val="2"/>
            <w:vMerge w:val="restart"/>
          </w:tcPr>
          <w:p>
            <w:pPr>
              <w:spacing w:after="0"/>
              <w:rPr>
                <w:sz w:val="20"/>
                <w:szCs w:val="20"/>
                <w:color w:val="auto"/>
              </w:rPr>
            </w:pPr>
            <w:r>
              <w:rPr>
                <w:rFonts w:ascii="Arial" w:cs="Arial" w:eastAsia="Arial" w:hAnsi="Arial"/>
                <w:sz w:val="18"/>
                <w:szCs w:val="18"/>
                <w:color w:val="auto"/>
              </w:rPr>
              <w:t>$0.00</w:t>
            </w:r>
          </w:p>
        </w:tc>
        <w:tc>
          <w:tcPr>
            <w:tcW w:w="9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180" w:type="dxa"/>
            <w:vAlign w:val="bottom"/>
            <w:tcBorders>
              <w:left w:val="single" w:sz="8" w:color="auto"/>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March 30, 2019</w:t>
            </w:r>
          </w:p>
        </w:tc>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$0.00</w:t>
            </w:r>
          </w:p>
        </w:tc>
        <w:tc>
          <w:tcPr>
            <w:tcW w:w="122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gridSpan w:val="2"/>
            <w:vMerge w:val="continue"/>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$0.00</w:t>
            </w:r>
          </w:p>
        </w:tc>
        <w:tc>
          <w:tcPr>
            <w:tcW w:w="6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180" w:type="dxa"/>
            <w:vAlign w:val="bottom"/>
            <w:tcBorders>
              <w:left w:val="single" w:sz="8" w:color="auto"/>
              <w:right w:val="single" w:sz="8" w:color="auto"/>
            </w:tcBorders>
            <w:gridSpan w:val="3"/>
          </w:tcPr>
          <w:p>
            <w:pPr>
              <w:spacing w:after="0" w:line="171" w:lineRule="exact"/>
              <w:rPr>
                <w:sz w:val="20"/>
                <w:szCs w:val="20"/>
                <w:color w:val="auto"/>
              </w:rPr>
            </w:pPr>
            <w:r>
              <w:rPr>
                <w:rFonts w:ascii="Arial" w:cs="Arial" w:eastAsia="Arial" w:hAnsi="Arial"/>
                <w:sz w:val="18"/>
                <w:szCs w:val="18"/>
                <w:color w:val="auto"/>
              </w:rPr>
              <w:t>April 1, 2019 –</w:t>
            </w:r>
          </w:p>
        </w:tc>
        <w:tc>
          <w:tcPr>
            <w:tcW w:w="820" w:type="dxa"/>
            <w:vAlign w:val="bottom"/>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180" w:type="dxa"/>
            <w:vAlign w:val="bottom"/>
            <w:tcBorders>
              <w:left w:val="single" w:sz="8" w:color="auto"/>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September 30, 2019</w:t>
            </w:r>
          </w:p>
        </w:tc>
        <w:tc>
          <w:tcPr>
            <w:tcW w:w="20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N/A</w:t>
            </w: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$49,231.50</w:t>
            </w:r>
          </w:p>
        </w:tc>
        <w:tc>
          <w:tcPr>
            <w:tcW w:w="90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$69.00</w:t>
            </w:r>
          </w:p>
        </w:tc>
        <w:tc>
          <w:tcPr>
            <w:tcW w:w="6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180" w:type="dxa"/>
            <w:vAlign w:val="bottom"/>
            <w:tcBorders>
              <w:left w:val="single" w:sz="8" w:color="auto"/>
              <w:right w:val="single" w:sz="8" w:color="auto"/>
            </w:tcBorders>
            <w:gridSpan w:val="3"/>
          </w:tcPr>
          <w:p>
            <w:pPr>
              <w:spacing w:after="0" w:line="171" w:lineRule="exact"/>
              <w:rPr>
                <w:sz w:val="20"/>
                <w:szCs w:val="20"/>
                <w:color w:val="auto"/>
              </w:rPr>
            </w:pPr>
            <w:r>
              <w:rPr>
                <w:rFonts w:ascii="Arial" w:cs="Arial" w:eastAsia="Arial" w:hAnsi="Arial"/>
                <w:sz w:val="18"/>
                <w:szCs w:val="18"/>
                <w:color w:val="auto"/>
              </w:rPr>
              <w:t>October 1, 2019 –</w:t>
            </w:r>
          </w:p>
        </w:tc>
        <w:tc>
          <w:tcPr>
            <w:tcW w:w="820" w:type="dxa"/>
            <w:vAlign w:val="bottom"/>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180" w:type="dxa"/>
            <w:vAlign w:val="bottom"/>
            <w:tcBorders>
              <w:left w:val="single" w:sz="8" w:color="auto"/>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September 30, 2020</w:t>
            </w:r>
          </w:p>
        </w:tc>
        <w:tc>
          <w:tcPr>
            <w:tcW w:w="20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$599,340.00</w:t>
            </w: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$49,945.00</w:t>
            </w:r>
          </w:p>
        </w:tc>
        <w:tc>
          <w:tcPr>
            <w:tcW w:w="90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$70.00</w:t>
            </w:r>
          </w:p>
        </w:tc>
        <w:tc>
          <w:tcPr>
            <w:tcW w:w="6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180" w:type="dxa"/>
            <w:vAlign w:val="bottom"/>
            <w:tcBorders>
              <w:left w:val="single" w:sz="8" w:color="auto"/>
              <w:right w:val="single" w:sz="8" w:color="auto"/>
            </w:tcBorders>
            <w:gridSpan w:val="3"/>
          </w:tcPr>
          <w:p>
            <w:pPr>
              <w:spacing w:after="0" w:line="171" w:lineRule="exact"/>
              <w:rPr>
                <w:sz w:val="20"/>
                <w:szCs w:val="20"/>
                <w:color w:val="auto"/>
              </w:rPr>
            </w:pPr>
            <w:r>
              <w:rPr>
                <w:rFonts w:ascii="Arial" w:cs="Arial" w:eastAsia="Arial" w:hAnsi="Arial"/>
                <w:sz w:val="18"/>
                <w:szCs w:val="18"/>
                <w:color w:val="auto"/>
              </w:rPr>
              <w:t>October 1, 2020</w:t>
            </w:r>
          </w:p>
        </w:tc>
        <w:tc>
          <w:tcPr>
            <w:tcW w:w="820" w:type="dxa"/>
            <w:vAlign w:val="bottom"/>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180" w:type="dxa"/>
            <w:vAlign w:val="bottom"/>
            <w:tcBorders>
              <w:left w:val="single" w:sz="8" w:color="auto"/>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September 30, 2021</w:t>
            </w:r>
          </w:p>
        </w:tc>
        <w:tc>
          <w:tcPr>
            <w:tcW w:w="20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$607,902.00</w:t>
            </w: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$50,658.50</w:t>
            </w:r>
          </w:p>
        </w:tc>
        <w:tc>
          <w:tcPr>
            <w:tcW w:w="90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$71.00</w:t>
            </w:r>
          </w:p>
        </w:tc>
        <w:tc>
          <w:tcPr>
            <w:tcW w:w="6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180" w:type="dxa"/>
            <w:vAlign w:val="bottom"/>
            <w:tcBorders>
              <w:left w:val="single" w:sz="8" w:color="auto"/>
              <w:right w:val="single" w:sz="8" w:color="auto"/>
            </w:tcBorders>
            <w:gridSpan w:val="3"/>
          </w:tcPr>
          <w:p>
            <w:pPr>
              <w:spacing w:after="0" w:line="171" w:lineRule="exact"/>
              <w:rPr>
                <w:sz w:val="20"/>
                <w:szCs w:val="20"/>
                <w:color w:val="auto"/>
              </w:rPr>
            </w:pPr>
            <w:r>
              <w:rPr>
                <w:rFonts w:ascii="Arial" w:cs="Arial" w:eastAsia="Arial" w:hAnsi="Arial"/>
                <w:sz w:val="18"/>
                <w:szCs w:val="18"/>
                <w:color w:val="auto"/>
              </w:rPr>
              <w:t>October 1, 2021 –</w:t>
            </w:r>
          </w:p>
        </w:tc>
        <w:tc>
          <w:tcPr>
            <w:tcW w:w="820" w:type="dxa"/>
            <w:vAlign w:val="bottom"/>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180" w:type="dxa"/>
            <w:vAlign w:val="bottom"/>
            <w:tcBorders>
              <w:left w:val="single" w:sz="8" w:color="auto"/>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September 30, 2022</w:t>
            </w:r>
          </w:p>
        </w:tc>
        <w:tc>
          <w:tcPr>
            <w:tcW w:w="20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$616,464.00</w:t>
            </w: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$51,372.00</w:t>
            </w:r>
          </w:p>
        </w:tc>
        <w:tc>
          <w:tcPr>
            <w:tcW w:w="90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$72.00</w:t>
            </w:r>
          </w:p>
        </w:tc>
        <w:tc>
          <w:tcPr>
            <w:tcW w:w="6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180" w:type="dxa"/>
            <w:vAlign w:val="bottom"/>
            <w:tcBorders>
              <w:left w:val="single" w:sz="8" w:color="auto"/>
              <w:right w:val="single" w:sz="8" w:color="auto"/>
            </w:tcBorders>
            <w:gridSpan w:val="3"/>
          </w:tcPr>
          <w:p>
            <w:pPr>
              <w:spacing w:after="0" w:line="171" w:lineRule="exact"/>
              <w:rPr>
                <w:sz w:val="20"/>
                <w:szCs w:val="20"/>
                <w:color w:val="auto"/>
              </w:rPr>
            </w:pPr>
            <w:r>
              <w:rPr>
                <w:rFonts w:ascii="Arial" w:cs="Arial" w:eastAsia="Arial" w:hAnsi="Arial"/>
                <w:sz w:val="18"/>
                <w:szCs w:val="18"/>
                <w:color w:val="auto"/>
              </w:rPr>
              <w:t>October 1, 2022 –</w:t>
            </w:r>
          </w:p>
        </w:tc>
        <w:tc>
          <w:tcPr>
            <w:tcW w:w="820" w:type="dxa"/>
            <w:vAlign w:val="bottom"/>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180" w:type="dxa"/>
            <w:vAlign w:val="bottom"/>
            <w:tcBorders>
              <w:left w:val="single" w:sz="8" w:color="auto"/>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September 30, 2023</w:t>
            </w:r>
          </w:p>
        </w:tc>
        <w:tc>
          <w:tcPr>
            <w:tcW w:w="20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$625,026.00</w:t>
            </w: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$52,085.50</w:t>
            </w:r>
          </w:p>
        </w:tc>
        <w:tc>
          <w:tcPr>
            <w:tcW w:w="90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$73.00</w:t>
            </w:r>
          </w:p>
        </w:tc>
        <w:tc>
          <w:tcPr>
            <w:tcW w:w="6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180" w:type="dxa"/>
            <w:vAlign w:val="bottom"/>
            <w:tcBorders>
              <w:left w:val="single" w:sz="8" w:color="auto"/>
              <w:right w:val="single" w:sz="8" w:color="auto"/>
            </w:tcBorders>
            <w:gridSpan w:val="3"/>
          </w:tcPr>
          <w:p>
            <w:pPr>
              <w:spacing w:after="0" w:line="171" w:lineRule="exact"/>
              <w:rPr>
                <w:sz w:val="20"/>
                <w:szCs w:val="20"/>
                <w:color w:val="auto"/>
              </w:rPr>
            </w:pPr>
            <w:r>
              <w:rPr>
                <w:rFonts w:ascii="Arial" w:cs="Arial" w:eastAsia="Arial" w:hAnsi="Arial"/>
                <w:sz w:val="18"/>
                <w:szCs w:val="18"/>
                <w:color w:val="auto"/>
              </w:rPr>
              <w:t>October 1, 2023 –</w:t>
            </w:r>
          </w:p>
        </w:tc>
        <w:tc>
          <w:tcPr>
            <w:tcW w:w="820" w:type="dxa"/>
            <w:vAlign w:val="bottom"/>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180" w:type="dxa"/>
            <w:vAlign w:val="bottom"/>
            <w:tcBorders>
              <w:left w:val="single" w:sz="8" w:color="auto"/>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September 30, 2024</w:t>
            </w:r>
          </w:p>
        </w:tc>
        <w:tc>
          <w:tcPr>
            <w:tcW w:w="20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$633,588.00</w:t>
            </w: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$52,799.00</w:t>
            </w:r>
          </w:p>
        </w:tc>
        <w:tc>
          <w:tcPr>
            <w:tcW w:w="90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$74.00</w:t>
            </w:r>
          </w:p>
        </w:tc>
        <w:tc>
          <w:tcPr>
            <w:tcW w:w="6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180" w:type="dxa"/>
            <w:vAlign w:val="bottom"/>
            <w:tcBorders>
              <w:left w:val="single" w:sz="8" w:color="auto"/>
              <w:right w:val="single" w:sz="8" w:color="auto"/>
            </w:tcBorders>
            <w:gridSpan w:val="3"/>
          </w:tcPr>
          <w:p>
            <w:pPr>
              <w:spacing w:after="0" w:line="171" w:lineRule="exact"/>
              <w:rPr>
                <w:sz w:val="20"/>
                <w:szCs w:val="20"/>
                <w:color w:val="auto"/>
              </w:rPr>
            </w:pPr>
            <w:r>
              <w:rPr>
                <w:rFonts w:ascii="Arial" w:cs="Arial" w:eastAsia="Arial" w:hAnsi="Arial"/>
                <w:sz w:val="18"/>
                <w:szCs w:val="18"/>
                <w:color w:val="auto"/>
              </w:rPr>
              <w:t>October, 1, 2024 –</w:t>
            </w:r>
          </w:p>
        </w:tc>
        <w:tc>
          <w:tcPr>
            <w:tcW w:w="820" w:type="dxa"/>
            <w:vAlign w:val="bottom"/>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180" w:type="dxa"/>
            <w:vAlign w:val="bottom"/>
            <w:tcBorders>
              <w:left w:val="single" w:sz="8" w:color="auto"/>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September 30, 2025</w:t>
            </w:r>
          </w:p>
        </w:tc>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642,150.00</w:t>
            </w:r>
          </w:p>
        </w:tc>
        <w:tc>
          <w:tcPr>
            <w:tcW w:w="122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$53,512.50</w:t>
            </w:r>
          </w:p>
        </w:tc>
        <w:tc>
          <w:tcPr>
            <w:tcW w:w="90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$75.00</w:t>
            </w:r>
          </w:p>
        </w:tc>
        <w:tc>
          <w:tcPr>
            <w:tcW w:w="6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180" w:type="dxa"/>
            <w:vAlign w:val="bottom"/>
            <w:tcBorders>
              <w:left w:val="single" w:sz="8" w:color="auto"/>
              <w:right w:val="single" w:sz="8" w:color="auto"/>
            </w:tcBorders>
            <w:gridSpan w:val="3"/>
          </w:tcPr>
          <w:p>
            <w:pPr>
              <w:spacing w:after="0" w:line="171" w:lineRule="exact"/>
              <w:rPr>
                <w:sz w:val="20"/>
                <w:szCs w:val="20"/>
                <w:color w:val="auto"/>
              </w:rPr>
            </w:pPr>
            <w:r>
              <w:rPr>
                <w:rFonts w:ascii="Arial" w:cs="Arial" w:eastAsia="Arial" w:hAnsi="Arial"/>
                <w:sz w:val="18"/>
                <w:szCs w:val="18"/>
                <w:color w:val="auto"/>
              </w:rPr>
              <w:t>October 1, 2025 –</w:t>
            </w:r>
          </w:p>
        </w:tc>
        <w:tc>
          <w:tcPr>
            <w:tcW w:w="820" w:type="dxa"/>
            <w:vAlign w:val="bottom"/>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180" w:type="dxa"/>
            <w:vAlign w:val="bottom"/>
            <w:tcBorders>
              <w:left w:val="single" w:sz="8" w:color="auto"/>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January 31, 2026</w:t>
            </w:r>
          </w:p>
        </w:tc>
        <w:tc>
          <w:tcPr>
            <w:tcW w:w="20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N/A</w:t>
            </w: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$54,226.00</w:t>
            </w:r>
          </w:p>
        </w:tc>
        <w:tc>
          <w:tcPr>
            <w:tcW w:w="90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$76.00</w:t>
            </w:r>
          </w:p>
        </w:tc>
        <w:tc>
          <w:tcPr>
            <w:tcW w:w="6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1320" w:hanging="435"/>
        <w:spacing w:after="0" w:line="246" w:lineRule="auto"/>
        <w:tabs>
          <w:tab w:leader="none" w:pos="1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During the Stub Term, the Yearly Rent payable with respect to Premises B is included in the Yearly Rent payable pursuant to Section 5 of the Second Amendment.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311390" cy="393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74" w:name="page75"/>
    <w:bookmarkEnd w:id="74"/>
    <w:p>
      <w:pPr>
        <w:jc w:val="right"/>
        <w:spacing w:after="0"/>
        <w:rPr>
          <w:sz w:val="20"/>
          <w:szCs w:val="20"/>
          <w:color w:val="auto"/>
        </w:rPr>
      </w:pPr>
      <w:r>
        <w:rPr>
          <w:rFonts w:ascii="Arial" w:cs="Arial" w:eastAsia="Arial" w:hAnsi="Arial"/>
          <w:sz w:val="15"/>
          <w:szCs w:val="15"/>
          <w:color w:val="auto"/>
        </w:rPr>
        <w:t>Exhibit 10.3</w:t>
      </w:r>
    </w:p>
    <w:p>
      <w:pPr>
        <w:spacing w:after="0" w:line="11" w:lineRule="exact"/>
        <w:rPr>
          <w:sz w:val="20"/>
          <w:szCs w:val="20"/>
          <w:color w:val="auto"/>
        </w:rPr>
      </w:pPr>
    </w:p>
    <w:p>
      <w:pPr>
        <w:jc w:val="both"/>
        <w:ind w:firstLine="8"/>
        <w:spacing w:after="0" w:line="273" w:lineRule="auto"/>
        <w:tabs>
          <w:tab w:leader="none" w:pos="658"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Counterparts and Authority</w:t>
      </w:r>
      <w:r>
        <w:rPr>
          <w:rFonts w:ascii="Arial" w:cs="Arial" w:eastAsia="Arial" w:hAnsi="Arial"/>
          <w:sz w:val="16"/>
          <w:szCs w:val="16"/>
          <w:color w:val="auto"/>
        </w:rPr>
        <w:t>. This Third Amendment may be executed in several counterparts, each of which shall be an original and all of which shall constitute but one and the same instrument. Landlord and Tenant each warrant to the other that the person or persons executing this Third Amendment on its behalf has or have authority to do so and that such execution has fully obligated and bound such party to all terms and provisions of this Second Amendment.</w:t>
      </w:r>
    </w:p>
    <w:p>
      <w:pPr>
        <w:spacing w:after="0" w:line="126" w:lineRule="exact"/>
        <w:rPr>
          <w:rFonts w:ascii="Arial" w:cs="Arial" w:eastAsia="Arial" w:hAnsi="Arial"/>
          <w:sz w:val="16"/>
          <w:szCs w:val="16"/>
          <w:color w:val="auto"/>
        </w:rPr>
      </w:pPr>
    </w:p>
    <w:p>
      <w:pPr>
        <w:jc w:val="both"/>
        <w:ind w:firstLine="8"/>
        <w:spacing w:after="0" w:line="282" w:lineRule="auto"/>
        <w:tabs>
          <w:tab w:leader="none" w:pos="658"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Confirmation of Lease</w:t>
      </w:r>
      <w:r>
        <w:rPr>
          <w:rFonts w:ascii="Arial" w:cs="Arial" w:eastAsia="Arial" w:hAnsi="Arial"/>
          <w:sz w:val="16"/>
          <w:szCs w:val="16"/>
          <w:color w:val="auto"/>
        </w:rPr>
        <w:t>. Except as amended by this Third Amendment, all terms and provisions of the Lease shall remain in full force and effect, and as further modified by this Third Amendment, is expressly ratified and confirmed by the parties hereto. This Third Amendment shall be binding upon and inure to the benefit of the parties hereto and their respective successors and assigns, subject to the provisions of the Lease regarding assignment and subletting.</w:t>
      </w:r>
    </w:p>
    <w:p>
      <w:pPr>
        <w:spacing w:after="0" w:line="119" w:lineRule="exact"/>
        <w:rPr>
          <w:rFonts w:ascii="Arial" w:cs="Arial" w:eastAsia="Arial" w:hAnsi="Arial"/>
          <w:sz w:val="16"/>
          <w:szCs w:val="16"/>
          <w:color w:val="auto"/>
        </w:rPr>
      </w:pPr>
    </w:p>
    <w:p>
      <w:pPr>
        <w:jc w:val="both"/>
        <w:ind w:firstLine="8"/>
        <w:spacing w:after="0" w:line="267" w:lineRule="auto"/>
        <w:tabs>
          <w:tab w:leader="none" w:pos="658"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Governing Law; Interpretation and Partial Invalidity</w:t>
      </w:r>
      <w:r>
        <w:rPr>
          <w:rFonts w:ascii="Arial" w:cs="Arial" w:eastAsia="Arial" w:hAnsi="Arial"/>
          <w:sz w:val="16"/>
          <w:szCs w:val="16"/>
          <w:color w:val="auto"/>
        </w:rPr>
        <w:t>. This Third Amendment shall be governed and construed in accordance with the laws of the Commonwealth of Massachusetts. If any term of this Third Amendment, or the application thereof to any person or circumstances, shall to any extent be invalid or unenforceable, the remainder of this Second Amendment, or the application of such term to persons or circumstances other than those as to which it is invalid or unenforceable, shall not be affected thereby, and each term of this Third Amendment shall be valid and enforceable to the fullest extent permitted by law. The titles for the paragraphs are for convenience only and are not to be considered in construing this Third Amendment. This Third Amendment contains all of the agreements of the parties with respect to the subject matter hereof, and supersedes all prior dealings between them with respect to such subject matter.</w:t>
      </w:r>
    </w:p>
    <w:p>
      <w:pPr>
        <w:spacing w:after="0" w:line="132" w:lineRule="exact"/>
        <w:rPr>
          <w:rFonts w:ascii="Arial" w:cs="Arial" w:eastAsia="Arial" w:hAnsi="Arial"/>
          <w:sz w:val="16"/>
          <w:szCs w:val="16"/>
          <w:color w:val="auto"/>
        </w:rPr>
      </w:pPr>
    </w:p>
    <w:p>
      <w:pPr>
        <w:ind w:firstLine="8"/>
        <w:spacing w:after="0" w:line="246" w:lineRule="auto"/>
        <w:tabs>
          <w:tab w:leader="none" w:pos="658"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Binding Agreement</w:t>
      </w:r>
      <w:r>
        <w:rPr>
          <w:rFonts w:ascii="Arial" w:cs="Arial" w:eastAsia="Arial" w:hAnsi="Arial"/>
          <w:sz w:val="18"/>
          <w:szCs w:val="18"/>
          <w:color w:val="auto"/>
        </w:rPr>
        <w:t>. This document shall become effective and binding only upon the execution and delivery of this Third Amendment by both Landlord and Tenant.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FOLLOW]</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311390" cy="393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311390" cy="3937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75" w:name="page76"/>
    <w:bookmarkEnd w:id="75"/>
    <w:p>
      <w:pPr>
        <w:jc w:val="right"/>
        <w:spacing w:after="0"/>
        <w:rPr>
          <w:sz w:val="20"/>
          <w:szCs w:val="20"/>
          <w:color w:val="auto"/>
        </w:rPr>
      </w:pPr>
      <w:r>
        <w:rPr>
          <w:rFonts w:ascii="Arial" w:cs="Arial" w:eastAsia="Arial" w:hAnsi="Arial"/>
          <w:sz w:val="15"/>
          <w:szCs w:val="15"/>
          <w:color w:val="auto"/>
        </w:rPr>
        <w:t>Exhibit 10.3</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Landlord and Tenant have caused this Third Amendment to be executed as of the Effective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ONE CANAL PARK MASSACHUSETTS, LLC</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ectPr>
          <w:pgSz w:w="11900" w:h="16838" w:orient="portrait"/>
          <w:cols w:equalWidth="0" w:num="1">
            <w:col w:w="11460"/>
          </w:cols>
          <w:pgMar w:left="220" w:top="129" w:right="219" w:bottom="1440" w:gutter="0" w:footer="0" w:header="0"/>
        </w:sectPr>
      </w:pP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BAY STATE REIT, LLC</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a Delaware limited liability company, its Manager</w:t>
      </w:r>
    </w:p>
    <w:p>
      <w:pPr>
        <w:spacing w:after="0" w:line="169" w:lineRule="exact"/>
        <w:rPr>
          <w:sz w:val="20"/>
          <w:szCs w:val="20"/>
          <w:color w:val="auto"/>
        </w:rPr>
      </w:pPr>
    </w:p>
    <w:p>
      <w:pPr>
        <w:sectPr>
          <w:pgSz w:w="11900" w:h="16838" w:orient="portrait"/>
          <w:cols w:equalWidth="0" w:num="2">
            <w:col w:w="260" w:space="620"/>
            <w:col w:w="10580"/>
          </w:cols>
          <w:pgMar w:left="220" w:top="129" w:right="21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U.S. REAL ESTATE INVESTMENT FUND REIT, INC.</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 its Manager</w:t>
      </w:r>
    </w:p>
    <w:p>
      <w:pPr>
        <w:spacing w:after="0" w:line="152" w:lineRule="exact"/>
        <w:rPr>
          <w:sz w:val="20"/>
          <w:szCs w:val="20"/>
          <w:color w:val="auto"/>
        </w:rPr>
      </w:pPr>
    </w:p>
    <w:p>
      <w:pPr>
        <w:sectPr>
          <w:pgSz w:w="11900" w:h="16838" w:orient="portrait"/>
          <w:cols w:equalWidth="0" w:num="2">
            <w:col w:w="260" w:space="620"/>
            <w:col w:w="10580"/>
          </w:cols>
          <w:pgMar w:left="220" w:top="129" w:right="219" w:bottom="1440" w:gutter="0" w:footer="0" w:header="0"/>
          <w:type w:val="continuous"/>
        </w:sectPr>
      </w:pPr>
    </w:p>
    <w:p>
      <w:pPr>
        <w:spacing w:after="0"/>
        <w:rPr>
          <w:sz w:val="20"/>
          <w:szCs w:val="20"/>
          <w:color w:val="auto"/>
        </w:rPr>
      </w:pPr>
      <w:r>
        <w:rPr>
          <w:rFonts w:ascii="Arial" w:cs="Arial" w:eastAsia="Arial" w:hAnsi="Arial"/>
          <w:sz w:val="18"/>
          <w:szCs w:val="18"/>
          <w:color w:val="auto"/>
        </w:rPr>
        <w:t>By:</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Arial" w:cs="Arial" w:eastAsia="Arial" w:hAnsi="Arial"/>
          <w:sz w:val="15"/>
          <w:szCs w:val="15"/>
          <w:color w:val="auto"/>
        </w:rPr>
        <w:t>/s/ Thomas Taranto</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Thomas Taranto</w:t>
      </w:r>
    </w:p>
    <w:p>
      <w:pPr>
        <w:ind w:left="480"/>
        <w:spacing w:after="0"/>
        <w:rPr>
          <w:sz w:val="20"/>
          <w:szCs w:val="20"/>
          <w:color w:val="auto"/>
        </w:rPr>
      </w:pPr>
      <w:r>
        <w:rPr>
          <w:rFonts w:ascii="Arial" w:cs="Arial" w:eastAsia="Arial" w:hAnsi="Arial"/>
          <w:sz w:val="16"/>
          <w:szCs w:val="16"/>
          <w:color w:val="auto"/>
        </w:rPr>
        <w:t>Vice President</w:t>
      </w:r>
    </w:p>
    <w:p>
      <w:pPr>
        <w:spacing w:after="0" w:line="222" w:lineRule="exact"/>
        <w:rPr>
          <w:sz w:val="20"/>
          <w:szCs w:val="20"/>
          <w:color w:val="auto"/>
        </w:rPr>
      </w:pPr>
    </w:p>
    <w:p>
      <w:pPr>
        <w:sectPr>
          <w:pgSz w:w="11900" w:h="16838" w:orient="portrait"/>
          <w:cols w:equalWidth="0" w:num="2">
            <w:col w:w="480" w:space="80"/>
            <w:col w:w="10900"/>
          </w:cols>
          <w:pgMar w:left="220" w:top="129" w:right="219" w:bottom="144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HUBSPOT, INC.</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1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Kelleher</w:t>
      </w:r>
    </w:p>
    <w:p>
      <w:pPr>
        <w:spacing w:after="0" w:line="234" w:lineRule="auto"/>
        <w:rPr>
          <w:sz w:val="20"/>
          <w:szCs w:val="20"/>
          <w:color w:val="auto"/>
        </w:rPr>
      </w:pPr>
      <w:r>
        <w:rPr>
          <w:rFonts w:ascii="Arial" w:cs="Arial" w:eastAsia="Arial" w:hAnsi="Arial"/>
          <w:sz w:val="18"/>
          <w:szCs w:val="18"/>
          <w:color w:val="auto"/>
        </w:rPr>
        <w:t>Name: John Kelleher</w:t>
      </w:r>
    </w:p>
    <w:p>
      <w:pPr>
        <w:spacing w:after="0"/>
        <w:tabs>
          <w:tab w:leader="none" w:pos="9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60"/>
          </w:cols>
          <w:pgMar w:left="220" w:top="129" w:right="219" w:bottom="1440" w:gutter="0" w:footer="0" w:header="0"/>
          <w:type w:val="continuous"/>
        </w:sectPr>
      </w:pPr>
    </w:p>
    <w:bookmarkStart w:id="76" w:name="page77"/>
    <w:bookmarkEnd w:id="76"/>
    <w:p>
      <w:pPr>
        <w:jc w:val="right"/>
        <w:ind w:right="80"/>
        <w:spacing w:after="0"/>
        <w:rPr>
          <w:sz w:val="20"/>
          <w:szCs w:val="20"/>
          <w:color w:val="auto"/>
        </w:rPr>
      </w:pPr>
      <w:r>
        <w:rPr>
          <w:rFonts w:ascii="Arial" w:cs="Arial" w:eastAsia="Arial" w:hAnsi="Arial"/>
          <w:sz w:val="15"/>
          <w:szCs w:val="15"/>
          <w:b w:val="1"/>
          <w:bCs w:val="1"/>
          <w:color w:val="auto"/>
        </w:rPr>
        <w:t>Exhibit 31.1</w:t>
      </w:r>
    </w:p>
    <w:p>
      <w:pPr>
        <w:spacing w:after="0" w:line="179"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Certification of Chief Executive Officer</w:t>
      </w:r>
    </w:p>
    <w:p>
      <w:pPr>
        <w:spacing w:after="0" w:line="18"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Pursuant to</w:t>
      </w:r>
    </w:p>
    <w:p>
      <w:pPr>
        <w:spacing w:after="0" w:line="3"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Exchange Act Rules 13a-14(a) and 15d-14(a),</w:t>
      </w:r>
    </w:p>
    <w:p>
      <w:pPr>
        <w:spacing w:after="0" w:line="3"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As Adopted Pursuant to</w:t>
      </w:r>
    </w:p>
    <w:p>
      <w:pPr>
        <w:spacing w:after="0" w:line="3"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Section 302 of the Sarbanes-Oxley Act of 2002</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I, Brian Halligan, certify that:</w:t>
      </w:r>
    </w:p>
    <w:p>
      <w:pPr>
        <w:spacing w:after="0" w:line="91" w:lineRule="exact"/>
        <w:rPr>
          <w:sz w:val="20"/>
          <w:szCs w:val="20"/>
          <w:color w:val="auto"/>
        </w:rPr>
      </w:pPr>
    </w:p>
    <w:p>
      <w:pPr>
        <w:ind w:left="520" w:hanging="512"/>
        <w:spacing w:after="0"/>
        <w:tabs>
          <w:tab w:leader="none" w:pos="5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HubSpot, Inc.;</w:t>
      </w:r>
    </w:p>
    <w:p>
      <w:pPr>
        <w:spacing w:after="0" w:line="90" w:lineRule="exact"/>
        <w:rPr>
          <w:rFonts w:ascii="Arial" w:cs="Arial" w:eastAsia="Arial" w:hAnsi="Arial"/>
          <w:sz w:val="15"/>
          <w:szCs w:val="15"/>
          <w:color w:val="auto"/>
        </w:rPr>
      </w:pPr>
    </w:p>
    <w:p>
      <w:pPr>
        <w:ind w:left="520" w:right="640" w:hanging="512"/>
        <w:spacing w:after="0" w:line="263" w:lineRule="auto"/>
        <w:tabs>
          <w:tab w:leader="none" w:pos="5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5"/>
          <w:szCs w:val="15"/>
          <w:color w:val="auto"/>
        </w:rPr>
      </w:pPr>
    </w:p>
    <w:p>
      <w:pPr>
        <w:ind w:left="520" w:right="80" w:hanging="512"/>
        <w:spacing w:after="0" w:line="263" w:lineRule="auto"/>
        <w:tabs>
          <w:tab w:leader="none" w:pos="5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5"/>
          <w:szCs w:val="15"/>
          <w:color w:val="auto"/>
        </w:rPr>
      </w:pPr>
    </w:p>
    <w:p>
      <w:pPr>
        <w:ind w:left="520" w:right="120" w:hanging="512"/>
        <w:spacing w:after="0" w:line="263" w:lineRule="auto"/>
        <w:tabs>
          <w:tab w:leader="none" w:pos="5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Arial" w:cs="Arial" w:eastAsia="Arial" w:hAnsi="Arial"/>
          <w:sz w:val="15"/>
          <w:szCs w:val="15"/>
          <w:color w:val="auto"/>
        </w:rPr>
      </w:pPr>
    </w:p>
    <w:p>
      <w:pPr>
        <w:jc w:val="both"/>
        <w:ind w:left="1040" w:right="260" w:hanging="517"/>
        <w:spacing w:after="0" w:line="253" w:lineRule="auto"/>
        <w:tabs>
          <w:tab w:leader="none" w:pos="1040" w:val="left"/>
        </w:tabs>
        <w:numPr>
          <w:ilvl w:val="1"/>
          <w:numId w:val="45"/>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5"/>
          <w:szCs w:val="15"/>
          <w:color w:val="auto"/>
        </w:rPr>
      </w:pPr>
    </w:p>
    <w:p>
      <w:pPr>
        <w:jc w:val="both"/>
        <w:ind w:left="1040" w:right="480" w:hanging="517"/>
        <w:spacing w:after="0" w:line="253" w:lineRule="auto"/>
        <w:tabs>
          <w:tab w:leader="none" w:pos="1040" w:val="left"/>
        </w:tabs>
        <w:numPr>
          <w:ilvl w:val="1"/>
          <w:numId w:val="45"/>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Arial" w:cs="Arial" w:eastAsia="Arial" w:hAnsi="Arial"/>
          <w:sz w:val="15"/>
          <w:szCs w:val="15"/>
          <w:color w:val="auto"/>
        </w:rPr>
      </w:pPr>
    </w:p>
    <w:p>
      <w:pPr>
        <w:ind w:left="1040" w:right="320" w:hanging="517"/>
        <w:spacing w:after="0" w:line="263" w:lineRule="auto"/>
        <w:tabs>
          <w:tab w:leader="none" w:pos="1040" w:val="left"/>
        </w:tabs>
        <w:numPr>
          <w:ilvl w:val="1"/>
          <w:numId w:val="4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5"/>
          <w:szCs w:val="15"/>
          <w:color w:val="auto"/>
        </w:rPr>
      </w:pPr>
    </w:p>
    <w:p>
      <w:pPr>
        <w:ind w:left="1040" w:right="440" w:hanging="517"/>
        <w:spacing w:after="0" w:line="253" w:lineRule="auto"/>
        <w:tabs>
          <w:tab w:leader="none" w:pos="1040" w:val="left"/>
        </w:tabs>
        <w:numPr>
          <w:ilvl w:val="1"/>
          <w:numId w:val="45"/>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5"/>
          <w:szCs w:val="15"/>
          <w:color w:val="auto"/>
        </w:rPr>
      </w:pPr>
    </w:p>
    <w:p>
      <w:pPr>
        <w:ind w:left="520" w:right="280" w:hanging="512"/>
        <w:spacing w:after="0" w:line="263" w:lineRule="auto"/>
        <w:tabs>
          <w:tab w:leader="none" w:pos="5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5"/>
          <w:szCs w:val="15"/>
          <w:color w:val="auto"/>
        </w:rPr>
      </w:pPr>
    </w:p>
    <w:p>
      <w:pPr>
        <w:ind w:left="1040" w:right="420" w:hanging="517"/>
        <w:spacing w:after="0" w:line="263" w:lineRule="auto"/>
        <w:tabs>
          <w:tab w:leader="none" w:pos="1040" w:val="left"/>
        </w:tabs>
        <w:numPr>
          <w:ilvl w:val="1"/>
          <w:numId w:val="45"/>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Arial" w:cs="Arial" w:eastAsia="Arial" w:hAnsi="Arial"/>
          <w:sz w:val="15"/>
          <w:szCs w:val="15"/>
          <w:color w:val="auto"/>
        </w:rPr>
      </w:pPr>
    </w:p>
    <w:p>
      <w:pPr>
        <w:ind w:left="1040" w:hanging="517"/>
        <w:spacing w:after="0"/>
        <w:tabs>
          <w:tab w:leader="none" w:pos="1040" w:val="left"/>
        </w:tabs>
        <w:numPr>
          <w:ilvl w:val="1"/>
          <w:numId w:val="45"/>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20"/>
                <w:szCs w:val="20"/>
                <w:color w:val="auto"/>
              </w:rPr>
            </w:pPr>
            <w:r>
              <w:rPr>
                <w:rFonts w:ascii="Arial" w:cs="Arial" w:eastAsia="Arial" w:hAnsi="Arial"/>
                <w:sz w:val="15"/>
                <w:szCs w:val="15"/>
                <w:color w:val="auto"/>
              </w:rPr>
              <w:t>Date: May 10, 2018</w:t>
            </w:r>
          </w:p>
        </w:tc>
        <w:tc>
          <w:tcPr>
            <w:tcW w:w="7480" w:type="dxa"/>
            <w:vAlign w:val="bottom"/>
            <w:gridSpan w:val="2"/>
          </w:tcPr>
          <w:p>
            <w:pPr>
              <w:ind w:left="2900"/>
              <w:spacing w:after="0"/>
              <w:rPr>
                <w:sz w:val="20"/>
                <w:szCs w:val="20"/>
                <w:color w:val="auto"/>
              </w:rPr>
            </w:pPr>
            <w:r>
              <w:rPr>
                <w:rFonts w:ascii="Arial" w:cs="Arial" w:eastAsia="Arial" w:hAnsi="Arial"/>
                <w:sz w:val="15"/>
                <w:szCs w:val="15"/>
                <w:color w:val="auto"/>
              </w:rPr>
              <w:t>By:   /s/ Brian Halligan</w:t>
            </w:r>
          </w:p>
        </w:tc>
      </w:tr>
      <w:tr>
        <w:trPr>
          <w:trHeight w:val="156"/>
        </w:trPr>
        <w:tc>
          <w:tcPr>
            <w:tcW w:w="406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4180" w:type="dxa"/>
            <w:vAlign w:val="bottom"/>
            <w:tcBorders>
              <w:top w:val="single" w:sz="8" w:color="auto"/>
            </w:tcBorders>
          </w:tcPr>
          <w:p>
            <w:pPr>
              <w:spacing w:after="0" w:line="156" w:lineRule="exact"/>
              <w:rPr>
                <w:sz w:val="20"/>
                <w:szCs w:val="20"/>
                <w:color w:val="auto"/>
              </w:rPr>
            </w:pPr>
            <w:r>
              <w:rPr>
                <w:rFonts w:ascii="Arial" w:cs="Arial" w:eastAsia="Arial" w:hAnsi="Arial"/>
                <w:sz w:val="15"/>
                <w:szCs w:val="15"/>
                <w:color w:val="auto"/>
              </w:rPr>
              <w:t>Brian Halligan</w:t>
            </w:r>
          </w:p>
        </w:tc>
      </w:tr>
      <w:tr>
        <w:trPr>
          <w:trHeight w:val="176"/>
        </w:trPr>
        <w:tc>
          <w:tcPr>
            <w:tcW w:w="40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4180" w:type="dxa"/>
            <w:vAlign w:val="bottom"/>
          </w:tcPr>
          <w:p>
            <w:pPr>
              <w:spacing w:after="0"/>
              <w:rPr>
                <w:sz w:val="20"/>
                <w:szCs w:val="20"/>
                <w:color w:val="auto"/>
              </w:rPr>
            </w:pPr>
            <w:r>
              <w:rPr>
                <w:rFonts w:ascii="Arial" w:cs="Arial" w:eastAsia="Arial" w:hAnsi="Arial"/>
                <w:sz w:val="15"/>
                <w:szCs w:val="15"/>
                <w:color w:val="auto"/>
              </w:rPr>
              <w:t>Chief Executive Officer</w:t>
            </w:r>
          </w:p>
        </w:tc>
      </w:tr>
      <w:tr>
        <w:trPr>
          <w:trHeight w:val="186"/>
        </w:trPr>
        <w:tc>
          <w:tcPr>
            <w:tcW w:w="40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4180" w:type="dxa"/>
            <w:vAlign w:val="bottom"/>
          </w:tcPr>
          <w:p>
            <w:pPr>
              <w:spacing w:after="0"/>
              <w:rPr>
                <w:sz w:val="20"/>
                <w:szCs w:val="20"/>
                <w:color w:val="auto"/>
              </w:rPr>
            </w:pPr>
            <w:r>
              <w:rPr>
                <w:rFonts w:ascii="Arial" w:cs="Arial" w:eastAsia="Arial" w:hAnsi="Arial"/>
                <w:sz w:val="15"/>
                <w:szCs w:val="15"/>
                <w:color w:val="auto"/>
              </w:rPr>
              <w:t>(Principal Executive Officer)</w:t>
            </w:r>
          </w:p>
        </w:tc>
      </w:tr>
    </w:tbl>
    <w:p>
      <w:pPr>
        <w:sectPr>
          <w:pgSz w:w="11900" w:h="16838" w:orient="portrait"/>
          <w:cols w:equalWidth="0" w:num="1">
            <w:col w:w="11540"/>
          </w:cols>
          <w:pgMar w:left="220" w:top="125" w:right="139" w:bottom="1440" w:gutter="0" w:footer="0" w:header="0"/>
        </w:sectPr>
      </w:pPr>
    </w:p>
    <w:bookmarkStart w:id="77" w:name="page78"/>
    <w:bookmarkEnd w:id="77"/>
    <w:p>
      <w:pPr>
        <w:jc w:val="right"/>
        <w:spacing w:after="0"/>
        <w:rPr>
          <w:sz w:val="20"/>
          <w:szCs w:val="20"/>
          <w:color w:val="auto"/>
        </w:rPr>
      </w:pPr>
      <w:r>
        <w:rPr>
          <w:rFonts w:ascii="Arial" w:cs="Arial" w:eastAsia="Arial" w:hAnsi="Arial"/>
          <w:sz w:val="15"/>
          <w:szCs w:val="15"/>
          <w:b w:val="1"/>
          <w:bCs w:val="1"/>
          <w:color w:val="auto"/>
        </w:rPr>
        <w:t>Exhibit 31.2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Financial Officer</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Exchange Act Rules 13a-14(a) and 15d-14(a),</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302 of the Sarbanes-Oxley Act of 2002</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I, John Kinzer, certify that:</w:t>
      </w:r>
    </w:p>
    <w:p>
      <w:pPr>
        <w:spacing w:after="0" w:line="91" w:lineRule="exact"/>
        <w:rPr>
          <w:sz w:val="20"/>
          <w:szCs w:val="20"/>
          <w:color w:val="auto"/>
        </w:rPr>
      </w:pPr>
    </w:p>
    <w:p>
      <w:pPr>
        <w:ind w:left="520" w:hanging="512"/>
        <w:spacing w:after="0"/>
        <w:tabs>
          <w:tab w:leader="none" w:pos="5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HubSpot, Inc.;</w:t>
      </w:r>
    </w:p>
    <w:p>
      <w:pPr>
        <w:spacing w:after="0" w:line="90" w:lineRule="exact"/>
        <w:rPr>
          <w:rFonts w:ascii="Arial" w:cs="Arial" w:eastAsia="Arial" w:hAnsi="Arial"/>
          <w:sz w:val="15"/>
          <w:szCs w:val="15"/>
          <w:color w:val="auto"/>
        </w:rPr>
      </w:pPr>
    </w:p>
    <w:p>
      <w:pPr>
        <w:ind w:left="520" w:right="560" w:hanging="512"/>
        <w:spacing w:after="0" w:line="263" w:lineRule="auto"/>
        <w:tabs>
          <w:tab w:leader="none" w:pos="5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5"/>
          <w:szCs w:val="15"/>
          <w:color w:val="auto"/>
        </w:rPr>
      </w:pPr>
    </w:p>
    <w:p>
      <w:pPr>
        <w:ind w:left="520" w:hanging="512"/>
        <w:spacing w:after="0" w:line="263" w:lineRule="auto"/>
        <w:tabs>
          <w:tab w:leader="none" w:pos="5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5"/>
          <w:szCs w:val="15"/>
          <w:color w:val="auto"/>
        </w:rPr>
      </w:pPr>
    </w:p>
    <w:p>
      <w:pPr>
        <w:ind w:left="520" w:right="40" w:hanging="512"/>
        <w:spacing w:after="0" w:line="263" w:lineRule="auto"/>
        <w:tabs>
          <w:tab w:leader="none" w:pos="5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Arial" w:cs="Arial" w:eastAsia="Arial" w:hAnsi="Arial"/>
          <w:sz w:val="15"/>
          <w:szCs w:val="15"/>
          <w:color w:val="auto"/>
        </w:rPr>
      </w:pPr>
    </w:p>
    <w:p>
      <w:pPr>
        <w:jc w:val="both"/>
        <w:ind w:left="1040" w:right="180" w:hanging="517"/>
        <w:spacing w:after="0" w:line="253" w:lineRule="auto"/>
        <w:tabs>
          <w:tab w:leader="none" w:pos="1040" w:val="left"/>
        </w:tabs>
        <w:numPr>
          <w:ilvl w:val="1"/>
          <w:numId w:val="46"/>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5"/>
          <w:szCs w:val="15"/>
          <w:color w:val="auto"/>
        </w:rPr>
      </w:pPr>
    </w:p>
    <w:p>
      <w:pPr>
        <w:jc w:val="both"/>
        <w:ind w:left="1040" w:right="400" w:hanging="517"/>
        <w:spacing w:after="0" w:line="253" w:lineRule="auto"/>
        <w:tabs>
          <w:tab w:leader="none" w:pos="1040" w:val="left"/>
        </w:tabs>
        <w:numPr>
          <w:ilvl w:val="1"/>
          <w:numId w:val="46"/>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Arial" w:cs="Arial" w:eastAsia="Arial" w:hAnsi="Arial"/>
          <w:sz w:val="15"/>
          <w:szCs w:val="15"/>
          <w:color w:val="auto"/>
        </w:rPr>
      </w:pPr>
    </w:p>
    <w:p>
      <w:pPr>
        <w:ind w:left="1040" w:right="240" w:hanging="517"/>
        <w:spacing w:after="0" w:line="263" w:lineRule="auto"/>
        <w:tabs>
          <w:tab w:leader="none" w:pos="1040" w:val="left"/>
        </w:tabs>
        <w:numPr>
          <w:ilvl w:val="1"/>
          <w:numId w:val="4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5"/>
          <w:szCs w:val="15"/>
          <w:color w:val="auto"/>
        </w:rPr>
      </w:pPr>
    </w:p>
    <w:p>
      <w:pPr>
        <w:ind w:left="1040" w:right="360" w:hanging="517"/>
        <w:spacing w:after="0" w:line="253" w:lineRule="auto"/>
        <w:tabs>
          <w:tab w:leader="none" w:pos="1040" w:val="left"/>
        </w:tabs>
        <w:numPr>
          <w:ilvl w:val="1"/>
          <w:numId w:val="46"/>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5"/>
          <w:szCs w:val="15"/>
          <w:color w:val="auto"/>
        </w:rPr>
      </w:pPr>
    </w:p>
    <w:p>
      <w:pPr>
        <w:ind w:left="520" w:right="200" w:hanging="512"/>
        <w:spacing w:after="0" w:line="263" w:lineRule="auto"/>
        <w:tabs>
          <w:tab w:leader="none" w:pos="5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5"/>
          <w:szCs w:val="15"/>
          <w:color w:val="auto"/>
        </w:rPr>
      </w:pPr>
    </w:p>
    <w:p>
      <w:pPr>
        <w:ind w:left="1040" w:right="340" w:hanging="517"/>
        <w:spacing w:after="0" w:line="263" w:lineRule="auto"/>
        <w:tabs>
          <w:tab w:leader="none" w:pos="1040" w:val="left"/>
        </w:tabs>
        <w:numPr>
          <w:ilvl w:val="1"/>
          <w:numId w:val="46"/>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Arial" w:cs="Arial" w:eastAsia="Arial" w:hAnsi="Arial"/>
          <w:sz w:val="15"/>
          <w:szCs w:val="15"/>
          <w:color w:val="auto"/>
        </w:rPr>
      </w:pPr>
    </w:p>
    <w:p>
      <w:pPr>
        <w:ind w:left="1040" w:hanging="517"/>
        <w:spacing w:after="0"/>
        <w:tabs>
          <w:tab w:leader="none" w:pos="1040" w:val="left"/>
        </w:tabs>
        <w:numPr>
          <w:ilvl w:val="1"/>
          <w:numId w:val="46"/>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20"/>
                <w:szCs w:val="20"/>
                <w:color w:val="auto"/>
              </w:rPr>
            </w:pPr>
            <w:r>
              <w:rPr>
                <w:rFonts w:ascii="Arial" w:cs="Arial" w:eastAsia="Arial" w:hAnsi="Arial"/>
                <w:sz w:val="15"/>
                <w:szCs w:val="15"/>
                <w:color w:val="auto"/>
              </w:rPr>
              <w:t>Date: May 10, 2018</w:t>
            </w:r>
          </w:p>
        </w:tc>
        <w:tc>
          <w:tcPr>
            <w:tcW w:w="7420" w:type="dxa"/>
            <w:vAlign w:val="bottom"/>
            <w:gridSpan w:val="2"/>
          </w:tcPr>
          <w:p>
            <w:pPr>
              <w:ind w:left="2840"/>
              <w:spacing w:after="0"/>
              <w:rPr>
                <w:sz w:val="20"/>
                <w:szCs w:val="20"/>
                <w:color w:val="auto"/>
              </w:rPr>
            </w:pPr>
            <w:r>
              <w:rPr>
                <w:rFonts w:ascii="Arial" w:cs="Arial" w:eastAsia="Arial" w:hAnsi="Arial"/>
                <w:sz w:val="15"/>
                <w:szCs w:val="15"/>
                <w:color w:val="auto"/>
              </w:rPr>
              <w:t>By:  /s/ John Kinzer</w:t>
            </w:r>
          </w:p>
        </w:tc>
      </w:tr>
      <w:tr>
        <w:trPr>
          <w:trHeight w:val="156"/>
        </w:trPr>
        <w:tc>
          <w:tcPr>
            <w:tcW w:w="40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4240" w:type="dxa"/>
            <w:vAlign w:val="bottom"/>
            <w:tcBorders>
              <w:top w:val="single" w:sz="8" w:color="auto"/>
            </w:tcBorders>
          </w:tcPr>
          <w:p>
            <w:pPr>
              <w:spacing w:after="0" w:line="156" w:lineRule="exact"/>
              <w:rPr>
                <w:sz w:val="20"/>
                <w:szCs w:val="20"/>
                <w:color w:val="auto"/>
              </w:rPr>
            </w:pPr>
            <w:r>
              <w:rPr>
                <w:rFonts w:ascii="Arial" w:cs="Arial" w:eastAsia="Arial" w:hAnsi="Arial"/>
                <w:sz w:val="15"/>
                <w:szCs w:val="15"/>
                <w:color w:val="auto"/>
              </w:rPr>
              <w:t>John Kinzer</w:t>
            </w:r>
          </w:p>
        </w:tc>
      </w:tr>
      <w:tr>
        <w:trPr>
          <w:trHeight w:val="176"/>
        </w:trPr>
        <w:tc>
          <w:tcPr>
            <w:tcW w:w="40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4240" w:type="dxa"/>
            <w:vAlign w:val="bottom"/>
          </w:tcPr>
          <w:p>
            <w:pPr>
              <w:spacing w:after="0"/>
              <w:rPr>
                <w:sz w:val="20"/>
                <w:szCs w:val="20"/>
                <w:color w:val="auto"/>
              </w:rPr>
            </w:pPr>
            <w:r>
              <w:rPr>
                <w:rFonts w:ascii="Arial" w:cs="Arial" w:eastAsia="Arial" w:hAnsi="Arial"/>
                <w:sz w:val="15"/>
                <w:szCs w:val="15"/>
                <w:color w:val="auto"/>
              </w:rPr>
              <w:t>Chief Financial Officer</w:t>
            </w:r>
          </w:p>
        </w:tc>
      </w:tr>
      <w:tr>
        <w:trPr>
          <w:trHeight w:val="186"/>
        </w:trPr>
        <w:tc>
          <w:tcPr>
            <w:tcW w:w="40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4240" w:type="dxa"/>
            <w:vAlign w:val="bottom"/>
          </w:tcPr>
          <w:p>
            <w:pPr>
              <w:spacing w:after="0"/>
              <w:rPr>
                <w:sz w:val="20"/>
                <w:szCs w:val="20"/>
                <w:color w:val="auto"/>
              </w:rPr>
            </w:pPr>
            <w:r>
              <w:rPr>
                <w:rFonts w:ascii="Arial" w:cs="Arial" w:eastAsia="Arial" w:hAnsi="Arial"/>
                <w:sz w:val="15"/>
                <w:szCs w:val="15"/>
                <w:color w:val="auto"/>
              </w:rPr>
              <w:t>(Principal Financial Officer)</w:t>
            </w:r>
          </w:p>
        </w:tc>
      </w:tr>
    </w:tbl>
    <w:p>
      <w:pPr>
        <w:sectPr>
          <w:pgSz w:w="11900" w:h="16838" w:orient="portrait"/>
          <w:cols w:equalWidth="0" w:num="1">
            <w:col w:w="11460"/>
          </w:cols>
          <w:pgMar w:left="220" w:top="125" w:right="219" w:bottom="1440" w:gutter="0" w:footer="0" w:header="0"/>
        </w:sectPr>
      </w:pPr>
    </w:p>
    <w:bookmarkStart w:id="78" w:name="page79"/>
    <w:bookmarkEnd w:id="78"/>
    <w:p>
      <w:pPr>
        <w:jc w:val="right"/>
        <w:spacing w:after="0"/>
        <w:rPr>
          <w:sz w:val="20"/>
          <w:szCs w:val="20"/>
          <w:color w:val="auto"/>
        </w:rPr>
      </w:pPr>
      <w:r>
        <w:rPr>
          <w:rFonts w:ascii="Arial" w:cs="Arial" w:eastAsia="Arial" w:hAnsi="Arial"/>
          <w:sz w:val="15"/>
          <w:szCs w:val="15"/>
          <w:b w:val="1"/>
          <w:bCs w:val="1"/>
          <w:color w:val="auto"/>
        </w:rPr>
        <w:t>Exhibit 32.1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EXECUTIVE OFFICER AND CHIEF FINANCIAL OFFICER</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18 U.S.C. SECTION 1350,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68" w:lineRule="exact"/>
        <w:rPr>
          <w:sz w:val="20"/>
          <w:szCs w:val="20"/>
          <w:color w:val="auto"/>
        </w:rPr>
      </w:pPr>
    </w:p>
    <w:p>
      <w:pPr>
        <w:jc w:val="both"/>
        <w:ind w:right="320" w:firstLine="520"/>
        <w:spacing w:after="0" w:line="280" w:lineRule="auto"/>
        <w:rPr>
          <w:sz w:val="20"/>
          <w:szCs w:val="20"/>
          <w:color w:val="auto"/>
        </w:rPr>
      </w:pPr>
      <w:r>
        <w:rPr>
          <w:rFonts w:ascii="Arial" w:cs="Arial" w:eastAsia="Arial" w:hAnsi="Arial"/>
          <w:sz w:val="14"/>
          <w:szCs w:val="14"/>
          <w:color w:val="auto"/>
        </w:rPr>
        <w:t>I, Brian Halligan, certify, pursuant to 18 U.S.C. Section 1350, as adopted pursuant to Section 906 of the Sarbanes-Oxley Act of 2002, that, to my knowledge, the Quarterly Report on Form 10-Q of HubSpot, Inc. for the period ended March 31, 2018 fully complies with the requirements of Section 13(a) or 15(d) of the Securities Exchange Act of 1934 and that information contained in such Quarterly Report on Form 10-Q fairly presents, in all material respects, the financial condition and results of operations of HubSpot, Inc.</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20"/>
                <w:szCs w:val="20"/>
                <w:color w:val="auto"/>
              </w:rPr>
            </w:pPr>
            <w:r>
              <w:rPr>
                <w:rFonts w:ascii="Arial" w:cs="Arial" w:eastAsia="Arial" w:hAnsi="Arial"/>
                <w:sz w:val="15"/>
                <w:szCs w:val="15"/>
                <w:color w:val="auto"/>
              </w:rPr>
              <w:t>Date: May 10, 2018</w:t>
            </w:r>
          </w:p>
        </w:tc>
        <w:tc>
          <w:tcPr>
            <w:tcW w:w="7420" w:type="dxa"/>
            <w:vAlign w:val="bottom"/>
            <w:gridSpan w:val="2"/>
          </w:tcPr>
          <w:p>
            <w:pPr>
              <w:ind w:left="2840"/>
              <w:spacing w:after="0"/>
              <w:rPr>
                <w:sz w:val="20"/>
                <w:szCs w:val="20"/>
                <w:color w:val="auto"/>
              </w:rPr>
            </w:pPr>
            <w:r>
              <w:rPr>
                <w:rFonts w:ascii="Arial" w:cs="Arial" w:eastAsia="Arial" w:hAnsi="Arial"/>
                <w:sz w:val="15"/>
                <w:szCs w:val="15"/>
                <w:color w:val="auto"/>
              </w:rPr>
              <w:t>By:  /s/ Brian Halligan</w:t>
            </w:r>
          </w:p>
        </w:tc>
      </w:tr>
      <w:tr>
        <w:trPr>
          <w:trHeight w:val="156"/>
        </w:trPr>
        <w:tc>
          <w:tcPr>
            <w:tcW w:w="40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4240" w:type="dxa"/>
            <w:vAlign w:val="bottom"/>
            <w:tcBorders>
              <w:top w:val="single" w:sz="8" w:color="auto"/>
            </w:tcBorders>
          </w:tcPr>
          <w:p>
            <w:pPr>
              <w:spacing w:after="0" w:line="156" w:lineRule="exact"/>
              <w:rPr>
                <w:sz w:val="20"/>
                <w:szCs w:val="20"/>
                <w:color w:val="auto"/>
              </w:rPr>
            </w:pPr>
            <w:r>
              <w:rPr>
                <w:rFonts w:ascii="Arial" w:cs="Arial" w:eastAsia="Arial" w:hAnsi="Arial"/>
                <w:sz w:val="15"/>
                <w:szCs w:val="15"/>
                <w:color w:val="auto"/>
              </w:rPr>
              <w:t>Brian Halligan</w:t>
            </w:r>
          </w:p>
        </w:tc>
      </w:tr>
      <w:tr>
        <w:trPr>
          <w:trHeight w:val="176"/>
        </w:trPr>
        <w:tc>
          <w:tcPr>
            <w:tcW w:w="40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4240" w:type="dxa"/>
            <w:vAlign w:val="bottom"/>
          </w:tcPr>
          <w:p>
            <w:pPr>
              <w:spacing w:after="0"/>
              <w:rPr>
                <w:sz w:val="20"/>
                <w:szCs w:val="20"/>
                <w:color w:val="auto"/>
              </w:rPr>
            </w:pPr>
            <w:r>
              <w:rPr>
                <w:rFonts w:ascii="Arial" w:cs="Arial" w:eastAsia="Arial" w:hAnsi="Arial"/>
                <w:sz w:val="15"/>
                <w:szCs w:val="15"/>
                <w:color w:val="auto"/>
              </w:rPr>
              <w:t>Chief Executive Officer</w:t>
            </w:r>
          </w:p>
        </w:tc>
      </w:tr>
      <w:tr>
        <w:trPr>
          <w:trHeight w:val="186"/>
        </w:trPr>
        <w:tc>
          <w:tcPr>
            <w:tcW w:w="40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4240" w:type="dxa"/>
            <w:vAlign w:val="bottom"/>
          </w:tcPr>
          <w:p>
            <w:pPr>
              <w:spacing w:after="0"/>
              <w:rPr>
                <w:sz w:val="20"/>
                <w:szCs w:val="20"/>
                <w:color w:val="auto"/>
              </w:rPr>
            </w:pPr>
            <w:r>
              <w:rPr>
                <w:rFonts w:ascii="Arial" w:cs="Arial" w:eastAsia="Arial" w:hAnsi="Arial"/>
                <w:sz w:val="15"/>
                <w:szCs w:val="15"/>
                <w:color w:val="auto"/>
              </w:rPr>
              <w:t>(Principal Executive Officer)</w:t>
            </w:r>
          </w:p>
        </w:tc>
      </w:tr>
    </w:tbl>
    <w:p>
      <w:pPr>
        <w:spacing w:after="0" w:line="209" w:lineRule="exact"/>
        <w:rPr>
          <w:sz w:val="20"/>
          <w:szCs w:val="20"/>
          <w:color w:val="auto"/>
        </w:rPr>
      </w:pPr>
    </w:p>
    <w:p>
      <w:pPr>
        <w:jc w:val="both"/>
        <w:ind w:right="100" w:firstLine="520"/>
        <w:spacing w:after="0" w:line="280" w:lineRule="auto"/>
        <w:rPr>
          <w:sz w:val="20"/>
          <w:szCs w:val="20"/>
          <w:color w:val="auto"/>
        </w:rPr>
      </w:pPr>
      <w:r>
        <w:rPr>
          <w:rFonts w:ascii="Arial" w:cs="Arial" w:eastAsia="Arial" w:hAnsi="Arial"/>
          <w:sz w:val="14"/>
          <w:szCs w:val="14"/>
          <w:color w:val="auto"/>
        </w:rPr>
        <w:t>I, John Kinzer, certify, pursuant to 18 U.S.C. Section 1350, as adopted pursuant to Section 906 of the Sarbanes-Oxley Act of 2002, that, to my knowledge, the Quarterly Report on Form 10-Q of HubSpot, Inc. for the period ended March 31, 2018 fully complies with the requirements of Section 13(a) or 15(d) of the Securities Exchange Act of 1934 and that information contained in such Quarterly Report on Form 10-Q fairly presents, in all material respects, the financial condition and results of operations of HubSpot, Inc.</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20"/>
                <w:szCs w:val="20"/>
                <w:color w:val="auto"/>
              </w:rPr>
            </w:pPr>
            <w:r>
              <w:rPr>
                <w:rFonts w:ascii="Arial" w:cs="Arial" w:eastAsia="Arial" w:hAnsi="Arial"/>
                <w:sz w:val="15"/>
                <w:szCs w:val="15"/>
                <w:color w:val="auto"/>
              </w:rPr>
              <w:t>Date: May 10, 2018</w:t>
            </w:r>
          </w:p>
        </w:tc>
        <w:tc>
          <w:tcPr>
            <w:tcW w:w="7420" w:type="dxa"/>
            <w:vAlign w:val="bottom"/>
            <w:gridSpan w:val="2"/>
          </w:tcPr>
          <w:p>
            <w:pPr>
              <w:ind w:left="2840"/>
              <w:spacing w:after="0"/>
              <w:rPr>
                <w:sz w:val="20"/>
                <w:szCs w:val="20"/>
                <w:color w:val="auto"/>
              </w:rPr>
            </w:pPr>
            <w:r>
              <w:rPr>
                <w:rFonts w:ascii="Arial" w:cs="Arial" w:eastAsia="Arial" w:hAnsi="Arial"/>
                <w:sz w:val="15"/>
                <w:szCs w:val="15"/>
                <w:color w:val="auto"/>
              </w:rPr>
              <w:t>By:  /s/ John Kinzer</w:t>
            </w:r>
          </w:p>
        </w:tc>
      </w:tr>
      <w:tr>
        <w:trPr>
          <w:trHeight w:val="156"/>
        </w:trPr>
        <w:tc>
          <w:tcPr>
            <w:tcW w:w="40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4240" w:type="dxa"/>
            <w:vAlign w:val="bottom"/>
            <w:tcBorders>
              <w:top w:val="single" w:sz="8" w:color="auto"/>
            </w:tcBorders>
          </w:tcPr>
          <w:p>
            <w:pPr>
              <w:spacing w:after="0" w:line="156" w:lineRule="exact"/>
              <w:rPr>
                <w:sz w:val="20"/>
                <w:szCs w:val="20"/>
                <w:color w:val="auto"/>
              </w:rPr>
            </w:pPr>
            <w:r>
              <w:rPr>
                <w:rFonts w:ascii="Arial" w:cs="Arial" w:eastAsia="Arial" w:hAnsi="Arial"/>
                <w:sz w:val="15"/>
                <w:szCs w:val="15"/>
                <w:color w:val="auto"/>
              </w:rPr>
              <w:t>John Kinzer</w:t>
            </w:r>
          </w:p>
        </w:tc>
      </w:tr>
      <w:tr>
        <w:trPr>
          <w:trHeight w:val="176"/>
        </w:trPr>
        <w:tc>
          <w:tcPr>
            <w:tcW w:w="40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4240" w:type="dxa"/>
            <w:vAlign w:val="bottom"/>
          </w:tcPr>
          <w:p>
            <w:pPr>
              <w:spacing w:after="0"/>
              <w:rPr>
                <w:sz w:val="20"/>
                <w:szCs w:val="20"/>
                <w:color w:val="auto"/>
              </w:rPr>
            </w:pPr>
            <w:r>
              <w:rPr>
                <w:rFonts w:ascii="Arial" w:cs="Arial" w:eastAsia="Arial" w:hAnsi="Arial"/>
                <w:sz w:val="15"/>
                <w:szCs w:val="15"/>
                <w:color w:val="auto"/>
              </w:rPr>
              <w:t>Chief Financial Officer</w:t>
            </w:r>
          </w:p>
        </w:tc>
      </w:tr>
      <w:tr>
        <w:trPr>
          <w:trHeight w:val="186"/>
        </w:trPr>
        <w:tc>
          <w:tcPr>
            <w:tcW w:w="40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4240" w:type="dxa"/>
            <w:vAlign w:val="bottom"/>
          </w:tcPr>
          <w:p>
            <w:pPr>
              <w:spacing w:after="0"/>
              <w:rPr>
                <w:sz w:val="20"/>
                <w:szCs w:val="20"/>
                <w:color w:val="auto"/>
              </w:rPr>
            </w:pPr>
            <w:r>
              <w:rPr>
                <w:rFonts w:ascii="Arial" w:cs="Arial" w:eastAsia="Arial" w:hAnsi="Arial"/>
                <w:sz w:val="15"/>
                <w:szCs w:val="15"/>
                <w:color w:val="auto"/>
              </w:rPr>
              <w:t>(Principal Financial Officer)</w:t>
            </w:r>
          </w:p>
        </w:tc>
      </w:tr>
    </w:tbl>
    <w:p>
      <w:pPr>
        <w:spacing w:after="0" w:line="187" w:lineRule="exact"/>
        <w:rPr>
          <w:sz w:val="20"/>
          <w:szCs w:val="20"/>
          <w:color w:val="auto"/>
        </w:rPr>
      </w:pPr>
    </w:p>
    <w:p>
      <w:pPr>
        <w:jc w:val="both"/>
        <w:ind w:right="20" w:firstLine="520"/>
        <w:spacing w:after="0" w:line="253" w:lineRule="auto"/>
        <w:rPr>
          <w:sz w:val="20"/>
          <w:szCs w:val="20"/>
          <w:color w:val="auto"/>
        </w:rPr>
      </w:pPr>
      <w:r>
        <w:rPr>
          <w:rFonts w:ascii="Arial" w:cs="Arial" w:eastAsia="Arial" w:hAnsi="Arial"/>
          <w:sz w:val="15"/>
          <w:szCs w:val="15"/>
          <w:i w:val="1"/>
          <w:iCs w:val="1"/>
          <w:color w:val="auto"/>
        </w:rPr>
        <w:t>The foregoing certifications are not deemed filed with the Securities and Exchange Commission for purposes of Section 18 of the Securities Exchange Act of 1934, as amended (Exchange Act), and are not to be incorporated by reference into any filing of HubSpot, Inc. under the Securities Act of 1933, as amended, or the Exchange Act, whether made before or after the date hereof, regardless of any general incorporation language in such filing.</w:t>
      </w:r>
    </w:p>
    <w:sectPr>
      <w:pgSz w:w="11900" w:h="16838" w:orient="portrait"/>
      <w:cols w:equalWidth="0" w:num="1">
        <w:col w:w="11460"/>
      </w:cols>
      <w:pgMar w:left="220" w:top="12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1)"/>
      <w:numFmt w:val="decimal"/>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1."/>
      <w:numFmt w:val="upperLetter"/>
      <w:start w:val="1"/>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1."/>
      <w:numFmt w:val="decimal"/>
      <w:start w:val="3"/>
    </w:lvl>
  </w:abstractNum>
  <w:abstractNum w:abstractNumId="23">
    <w:nsid w:val="5577F8E1"/>
    <w:multiLevelType w:val="hybridMultilevel"/>
    <w:lvl w:ilvl="0">
      <w:lvlJc w:val="left"/>
      <w:lvlText w:val="(%1)"/>
      <w:numFmt w:val="decimal"/>
      <w:start w:val="120"/>
    </w:lvl>
  </w:abstractNum>
  <w:abstractNum w:abstractNumId="24">
    <w:nsid w:val="440BADFC"/>
    <w:multiLevelType w:val="hybridMultilevel"/>
    <w:lvl w:ilvl="0">
      <w:lvlJc w:val="left"/>
      <w:lvlText w:val="%1."/>
      <w:numFmt w:val="decimal"/>
      <w:start w:val="4"/>
    </w:lvl>
  </w:abstractNum>
  <w:abstractNum w:abstractNumId="25">
    <w:nsid w:val="5072367"/>
    <w:multiLevelType w:val="hybridMultilevel"/>
    <w:lvl w:ilvl="0">
      <w:lvlJc w:val="left"/>
      <w:lvlText w:val="%1."/>
      <w:numFmt w:val="decimal"/>
      <w:start w:val="6"/>
    </w:lvl>
  </w:abstractNum>
  <w:abstractNum w:abstractNumId="26">
    <w:nsid w:val="3804823E"/>
    <w:multiLevelType w:val="hybridMultilevel"/>
    <w:lvl w:ilvl="0">
      <w:lvlJc w:val="left"/>
      <w:lvlText w:val="%1."/>
      <w:numFmt w:val="decimal"/>
      <w:start w:val="8"/>
    </w:lvl>
  </w:abstractNum>
  <w:abstractNum w:abstractNumId="27">
    <w:nsid w:val="77465F01"/>
    <w:multiLevelType w:val="hybridMultilevel"/>
    <w:lvl w:ilvl="0">
      <w:lvlJc w:val="left"/>
      <w:lvlText w:val="%1."/>
      <w:numFmt w:val="decimal"/>
      <w:start w:val="9"/>
    </w:lvl>
  </w:abstractNum>
  <w:abstractNum w:abstractNumId="28">
    <w:nsid w:val="7724C67E"/>
    <w:multiLevelType w:val="hybridMultilevel"/>
    <w:lvl w:ilvl="0">
      <w:lvlJc w:val="left"/>
      <w:lvlText w:val="%1."/>
      <w:numFmt w:val="decimal"/>
      <w:start w:val="12"/>
    </w:lvl>
  </w:abstractNum>
  <w:abstractNum w:abstractNumId="29">
    <w:nsid w:val="5C482A97"/>
    <w:multiLevelType w:val="hybridMultilevel"/>
    <w:lvl w:ilvl="0">
      <w:lvlJc w:val="left"/>
      <w:lvlText w:val="%1."/>
      <w:numFmt w:val="decimal"/>
      <w:start w:val="15"/>
    </w:lvl>
  </w:abstractNum>
  <w:abstractNum w:abstractNumId="30">
    <w:nsid w:val="2463B9EA"/>
    <w:multiLevelType w:val="hybridMultilevel"/>
    <w:lvl w:ilvl="0">
      <w:lvlJc w:val="left"/>
      <w:lvlText w:val="%1."/>
      <w:numFmt w:val="decimal"/>
      <w:start w:val="16"/>
    </w:lvl>
  </w:abstractNum>
  <w:abstractNum w:abstractNumId="31">
    <w:nsid w:val="5E884ADC"/>
    <w:multiLevelType w:val="hybridMultilevel"/>
    <w:lvl w:ilvl="0">
      <w:lvlJc w:val="left"/>
      <w:lvlText w:val="%1."/>
      <w:numFmt w:val="decimal"/>
      <w:start w:val="17"/>
    </w:lvl>
  </w:abstractNum>
  <w:abstractNum w:abstractNumId="32">
    <w:nsid w:val="51EAD36B"/>
    <w:multiLevelType w:val="hybridMultilevel"/>
    <w:lvl w:ilvl="0">
      <w:lvlJc w:val="left"/>
      <w:lvlText w:val="%1."/>
      <w:numFmt w:val="decimal"/>
      <w:start w:val="17"/>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decimal"/>
      <w:start w:val="6"/>
    </w:lvl>
  </w:abstractNum>
  <w:abstractNum w:abstractNumId="35">
    <w:nsid w:val="153EA438"/>
    <w:multiLevelType w:val="hybridMultilevel"/>
    <w:lvl w:ilvl="0">
      <w:lvlJc w:val="left"/>
      <w:lvlText w:val="%1."/>
      <w:numFmt w:val="upperLetter"/>
      <w:start w:val="1"/>
    </w:lvl>
  </w:abstractNum>
  <w:abstractNum w:abstractNumId="36">
    <w:nsid w:val="3855585C"/>
    <w:multiLevelType w:val="hybridMultilevel"/>
    <w:lvl w:ilvl="0">
      <w:lvlJc w:val="left"/>
      <w:lvlText w:val="%1."/>
      <w:numFmt w:val="decimal"/>
      <w:start w:val="1"/>
    </w:lvl>
    <w:lvl w:ilvl="1">
      <w:lvlJc w:val="left"/>
      <w:lvlText w:val="(%2)"/>
      <w:numFmt w:val="lowerLetter"/>
      <w:start w:val="1"/>
    </w:lvl>
  </w:abstractNum>
  <w:abstractNum w:abstractNumId="37">
    <w:nsid w:val="70A64E2A"/>
    <w:multiLevelType w:val="hybridMultilevel"/>
    <w:lvl w:ilvl="0">
      <w:lvlJc w:val="left"/>
      <w:lvlText w:val="%1."/>
      <w:numFmt w:val="decimal"/>
      <w:start w:val="4"/>
    </w:lvl>
  </w:abstractNum>
  <w:abstractNum w:abstractNumId="38">
    <w:nsid w:val="6A2342EC"/>
    <w:multiLevelType w:val="hybridMultilevel"/>
    <w:lvl w:ilvl="0">
      <w:lvlJc w:val="left"/>
      <w:lvlText w:val="%1."/>
      <w:numFmt w:val="decimal"/>
      <w:start w:val="10"/>
    </w:lvl>
  </w:abstractNum>
  <w:abstractNum w:abstractNumId="39">
    <w:nsid w:val="2A487CB0"/>
    <w:multiLevelType w:val="hybridMultilevel"/>
    <w:lvl w:ilvl="0">
      <w:lvlJc w:val="left"/>
      <w:lvlText w:val="%1."/>
      <w:numFmt w:val="upperLetter"/>
      <w:start w:val="1"/>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1."/>
      <w:numFmt w:val="decimal"/>
      <w:start w:val="3"/>
    </w:lvl>
    <w:lvl w:ilvl="1">
      <w:lvlJc w:val="left"/>
      <w:lvlText w:val="(%2)"/>
      <w:numFmt w:val="lowerLetter"/>
      <w:start w:val="1"/>
    </w:lvl>
  </w:abstractNum>
  <w:abstractNum w:abstractNumId="42">
    <w:nsid w:val="2CD89A32"/>
    <w:multiLevelType w:val="hybridMultilevel"/>
    <w:lvl w:ilvl="0">
      <w:lvlJc w:val="left"/>
      <w:lvlText w:val="(%1)"/>
      <w:numFmt w:val="lowerLetter"/>
      <w:start w:val="2"/>
    </w:lvl>
  </w:abstractNum>
  <w:abstractNum w:abstractNumId="43">
    <w:nsid w:val="57E4CCAF"/>
    <w:multiLevelType w:val="hybridMultilevel"/>
    <w:lvl w:ilvl="0">
      <w:lvlJc w:val="left"/>
      <w:lvlText w:val="%1."/>
      <w:numFmt w:val="decimal"/>
      <w:start w:val="6"/>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jpe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89" Type="http://schemas.openxmlformats.org/officeDocument/2006/relationships/hyperlink" Target="http://www.sec.gov/Archives/edgar/data/1404655/000156459016013204/hubs-ex31_768.htm" TargetMode="External"/><Relationship Id="rId90" Type="http://schemas.openxmlformats.org/officeDocument/2006/relationships/hyperlink" Target="http://www.sec.gov/Archives/edgar/data/1404655/000156459018009049/hubs-ex31_30.htm" TargetMode="External"/><Relationship Id="rId91" Type="http://schemas.openxmlformats.org/officeDocument/2006/relationships/hyperlink" Target="http://www.sec.gov/Archives/edgar/data/1404655/000119312514353746/d697256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2020-01-15T09:52:06Z</dcterms:created>
  <dcterms:modified xsi:type="dcterms:W3CDTF">2020-01-15T09:52:06Z</dcterms:modified>
</cp:coreProperties>
</file>