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Dharmesh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3"/>
        <w:gridCol w:w="905"/>
        <w:gridCol w:w="776"/>
        <w:gridCol w:w="601"/>
        <w:gridCol w:w="338"/>
        <w:gridCol w:w="903"/>
        <w:gridCol w:w="423"/>
        <w:gridCol w:w="881"/>
        <w:gridCol w:w="1242"/>
        <w:gridCol w:w="961"/>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181.37</w:t>
            </w:r>
            <w:r>
              <w:rPr>
                <w:rFonts w:ascii="Times;serif" w:hAnsi="Times;serif"/>
                <w:color w:val="008000"/>
                <w:position w:val="7"/>
                <w:sz w:val="16"/>
                <w:sz w:val="20"/>
                <w:shd w:fill="FFFFFF" w:val="clear"/>
              </w:rPr>
              <w:t>(1)</w:t>
            </w:r>
            <w:r>
              <w:rPr/>
              <w:t xml:space="preserve"> </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1,295,400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$181.13 to $182.10, inclusive. The reporting person undertakes to provide to HubSpot, Inc., any security holder of HubSpot, Inc., or the staff of the Securities and Exchange Commission,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Polaris 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Polaris II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Theis,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814"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4113</Characters>
  <CharactersWithSpaces>4808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