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Dharmesh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0"/>
        <w:gridCol w:w="908"/>
        <w:gridCol w:w="779"/>
        <w:gridCol w:w="603"/>
        <w:gridCol w:w="343"/>
        <w:gridCol w:w="870"/>
        <w:gridCol w:w="435"/>
        <w:gridCol w:w="748"/>
        <w:gridCol w:w="1259"/>
        <w:gridCol w:w="976"/>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263.6</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1,277,064</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8,717</w:t>
            </w:r>
            <w:r>
              <w:rPr>
                <w:rFonts w:ascii="Times;serif" w:hAnsi="Times;serif"/>
                <w:color w:val="008000"/>
                <w:position w:val="7"/>
                <w:sz w:val="16"/>
                <w:sz w:val="20"/>
                <w:shd w:fill="FFFFFF" w:val="clear"/>
              </w:rPr>
              <w:t>(2)</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1,285,781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cover taxes associated with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acquired pursuant to a restricted stock unit award under the Company's 2024 Stock Option and Incentive Plan. Each restricted stock unit represents a contingent right to receive one share of the Company's Common Stock. The restricted stock units will vest over 3 years beginning on March 1, 2026, at a rate of 8.33% vesting every three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Polaris 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Polaris II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Theis,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0814"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4168</Characters>
  <CharactersWithSpaces>4874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