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HUBSPOT,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0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001-36680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20-2632791</w:t>
      </w:r>
    </w:p>
    <w:p>
      <w:pPr>
        <w:spacing w:after="0" w:line="65" w:lineRule="exact"/>
        <w:rPr>
          <w:sz w:val="24"/>
          <w:szCs w:val="24"/>
          <w:color w:val="auto"/>
        </w:rPr>
      </w:pPr>
    </w:p>
    <w:p>
      <w:pPr>
        <w:sectPr>
          <w:pgSz w:w="11900" w:h="16838" w:orient="portrait"/>
          <w:cols w:equalWidth="0" w:num="3">
            <w:col w:w="4440" w:space="720"/>
            <w:col w:w="2940" w:space="720"/>
            <w:col w:w="2420"/>
          </w:cols>
          <w:pgMar w:left="320" w:top="746" w:right="339" w:bottom="1440" w:gutter="0" w:footer="0" w:header="0"/>
          <w:type w:val="continuous"/>
        </w:sectPr>
      </w:pPr>
    </w:p>
    <w:p>
      <w:pPr>
        <w:jc w:val="center"/>
        <w:ind w:right="340"/>
        <w:spacing w:after="0"/>
        <w:rPr>
          <w:sz w:val="20"/>
          <w:szCs w:val="20"/>
          <w:color w:val="auto"/>
        </w:rPr>
      </w:pPr>
      <w:r>
        <w:rPr>
          <w:rFonts w:ascii="Arial" w:cs="Arial" w:eastAsia="Arial" w:hAnsi="Arial"/>
          <w:sz w:val="12"/>
          <w:szCs w:val="12"/>
          <w:b w:val="1"/>
          <w:bCs w:val="1"/>
          <w:color w:val="auto"/>
        </w:rPr>
        <w:t>(State or Other Jurisdiction</w:t>
      </w:r>
    </w:p>
    <w:p>
      <w:pPr>
        <w:spacing w:after="0" w:line="25" w:lineRule="exact"/>
        <w:rPr>
          <w:sz w:val="24"/>
          <w:szCs w:val="24"/>
          <w:color w:val="auto"/>
        </w:rPr>
      </w:pPr>
    </w:p>
    <w:p>
      <w:pPr>
        <w:jc w:val="center"/>
        <w:ind w:right="3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jc w:val="center"/>
        <w:ind w:right="146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220" w:space="720"/>
            <w:col w:w="2520"/>
          </w:cols>
          <w:pgMar w:left="320" w:top="746" w:right="339" w:bottom="1440" w:gutter="0" w:footer="0" w:header="0"/>
          <w:type w:val="continuous"/>
        </w:sectPr>
      </w:pP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Two Canal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Massachusetts 02131</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(888) 482-7768</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p>
      <w:pPr>
        <w:spacing w:after="0" w:line="200" w:lineRule="exact"/>
        <w:rPr>
          <w:sz w:val="24"/>
          <w:szCs w:val="24"/>
          <w:color w:val="auto"/>
        </w:rPr>
      </w:pPr>
    </w:p>
    <w:p>
      <w:pPr>
        <w:spacing w:after="0" w:line="2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6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920" w:type="dxa"/>
            <w:vAlign w:val="bottom"/>
          </w:tcPr>
          <w:p>
            <w:pPr>
              <w:jc w:val="center"/>
              <w:spacing w:after="0"/>
              <w:rPr>
                <w:sz w:val="20"/>
                <w:szCs w:val="20"/>
                <w:color w:val="auto"/>
              </w:rPr>
            </w:pPr>
            <w:r>
              <w:rPr>
                <w:rFonts w:ascii="Arial" w:cs="Arial" w:eastAsia="Arial" w:hAnsi="Arial"/>
                <w:sz w:val="18"/>
                <w:szCs w:val="18"/>
                <w:color w:val="auto"/>
                <w:w w:val="88"/>
              </w:rPr>
              <w:t>Common Stock, Par Value $0.001 per share</w:t>
            </w:r>
          </w:p>
        </w:tc>
        <w:tc>
          <w:tcPr>
            <w:tcW w:w="14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HUBS</w:t>
            </w:r>
          </w:p>
        </w:tc>
        <w:tc>
          <w:tcPr>
            <w:tcW w:w="16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On June 6, 2023, HubSpot, Inc. (the “Company”) held its annual meeting of stockholders (the “Annual Meeting”) to consider and vote on the four proposals set forth below, each of which is described in greater detail in the Company’s definitive proxy statement filed with the U.S. Securities and Exchange Commission on April 25, 2023. The final voting results are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Directors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stockholders elected each of the four persons named below to serve as a Class III director to serve a three-year term ending at the 2026 annual meeting or until his or her successor is elected and qualified. The results of such vote were as follows:</w:t>
      </w:r>
    </w:p>
    <w:p>
      <w:pPr>
        <w:spacing w:after="0" w:line="207"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720" w:type="dxa"/>
            <w:vAlign w:val="bottom"/>
          </w:tcPr>
          <w:p>
            <w:pPr>
              <w:ind w:left="800"/>
              <w:spacing w:after="0"/>
              <w:rPr>
                <w:sz w:val="20"/>
                <w:szCs w:val="20"/>
                <w:color w:val="auto"/>
              </w:rPr>
            </w:pPr>
            <w:r>
              <w:rPr>
                <w:rFonts w:ascii="Arial" w:cs="Arial" w:eastAsia="Arial" w:hAnsi="Arial"/>
                <w:sz w:val="18"/>
                <w:szCs w:val="18"/>
                <w:b w:val="1"/>
                <w:bCs w:val="1"/>
                <w:color w:val="auto"/>
              </w:rPr>
              <w:t>Director Name</w:t>
            </w:r>
          </w:p>
        </w:tc>
        <w:tc>
          <w:tcPr>
            <w:tcW w:w="14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Votes For</w:t>
            </w:r>
          </w:p>
        </w:tc>
        <w:tc>
          <w:tcPr>
            <w:tcW w:w="10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b w:val="1"/>
                <w:bCs w:val="1"/>
                <w:color w:val="auto"/>
              </w:rPr>
              <w:t>Votes Against</w:t>
            </w:r>
          </w:p>
        </w:tc>
        <w:tc>
          <w:tcPr>
            <w:tcW w:w="6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Abstentions</w:t>
            </w:r>
          </w:p>
        </w:tc>
        <w:tc>
          <w:tcPr>
            <w:tcW w:w="8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Broker Non-</w:t>
            </w:r>
          </w:p>
        </w:tc>
      </w:tr>
      <w:tr>
        <w:trPr>
          <w:trHeight w:val="241"/>
        </w:trPr>
        <w:tc>
          <w:tcPr>
            <w:tcW w:w="2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Votes</w:t>
            </w:r>
          </w:p>
        </w:tc>
      </w:tr>
      <w:tr>
        <w:trPr>
          <w:trHeight w:val="243"/>
        </w:trPr>
        <w:tc>
          <w:tcPr>
            <w:tcW w:w="2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Nick Caldwell</w:t>
            </w: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37,605,658</w:t>
            </w:r>
          </w:p>
        </w:tc>
        <w:tc>
          <w:tcPr>
            <w:tcW w:w="100" w:type="dxa"/>
            <w:vAlign w:val="bottom"/>
            <w:shd w:val="clear" w:color="auto" w:fill="CFF0FC"/>
          </w:tcPr>
          <w:p>
            <w:pPr>
              <w:spacing w:after="0"/>
              <w:rPr>
                <w:sz w:val="21"/>
                <w:szCs w:val="21"/>
                <w:color w:val="auto"/>
              </w:rPr>
            </w:pPr>
          </w:p>
        </w:tc>
        <w:tc>
          <w:tcPr>
            <w:tcW w:w="17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89"/>
              </w:rPr>
              <w:t>1,917,138</w:t>
            </w:r>
          </w:p>
        </w:tc>
        <w:tc>
          <w:tcPr>
            <w:tcW w:w="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21,772</w:t>
            </w:r>
          </w:p>
        </w:tc>
        <w:tc>
          <w:tcPr>
            <w:tcW w:w="8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5,900,735</w:t>
            </w:r>
          </w:p>
        </w:tc>
        <w:tc>
          <w:tcPr>
            <w:tcW w:w="40" w:type="dxa"/>
            <w:vAlign w:val="bottom"/>
          </w:tcPr>
          <w:p>
            <w:pPr>
              <w:spacing w:after="0"/>
              <w:rPr>
                <w:sz w:val="21"/>
                <w:szCs w:val="21"/>
                <w:color w:val="auto"/>
              </w:rPr>
            </w:pPr>
          </w:p>
        </w:tc>
      </w:tr>
      <w:tr>
        <w:trPr>
          <w:trHeight w:val="237"/>
        </w:trPr>
        <w:tc>
          <w:tcPr>
            <w:tcW w:w="2720" w:type="dxa"/>
            <w:vAlign w:val="bottom"/>
          </w:tcPr>
          <w:p>
            <w:pPr>
              <w:ind w:left="100"/>
              <w:spacing w:after="0"/>
              <w:rPr>
                <w:sz w:val="20"/>
                <w:szCs w:val="20"/>
                <w:color w:val="auto"/>
              </w:rPr>
            </w:pPr>
            <w:r>
              <w:rPr>
                <w:rFonts w:ascii="Arial" w:cs="Arial" w:eastAsia="Arial" w:hAnsi="Arial"/>
                <w:sz w:val="18"/>
                <w:szCs w:val="18"/>
                <w:color w:val="auto"/>
              </w:rPr>
              <w:t>Claire Hughes Johnson</w:t>
            </w:r>
          </w:p>
        </w:tc>
        <w:tc>
          <w:tcPr>
            <w:tcW w:w="1740" w:type="dxa"/>
            <w:vAlign w:val="bottom"/>
            <w:gridSpan w:val="2"/>
          </w:tcPr>
          <w:p>
            <w:pPr>
              <w:jc w:val="right"/>
              <w:ind w:right="510"/>
              <w:spacing w:after="0"/>
              <w:rPr>
                <w:sz w:val="20"/>
                <w:szCs w:val="20"/>
                <w:color w:val="auto"/>
              </w:rPr>
            </w:pPr>
            <w:r>
              <w:rPr>
                <w:rFonts w:ascii="Arial" w:cs="Arial" w:eastAsia="Arial" w:hAnsi="Arial"/>
                <w:sz w:val="18"/>
                <w:szCs w:val="18"/>
                <w:color w:val="auto"/>
              </w:rPr>
              <w:t>28,858,535</w:t>
            </w:r>
          </w:p>
        </w:tc>
        <w:tc>
          <w:tcPr>
            <w:tcW w:w="182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10,661,722</w:t>
            </w:r>
          </w:p>
        </w:tc>
        <w:tc>
          <w:tcPr>
            <w:tcW w:w="1560" w:type="dxa"/>
            <w:vAlign w:val="bottom"/>
            <w:gridSpan w:val="2"/>
          </w:tcPr>
          <w:p>
            <w:pPr>
              <w:jc w:val="right"/>
              <w:ind w:right="590"/>
              <w:spacing w:after="0"/>
              <w:rPr>
                <w:sz w:val="20"/>
                <w:szCs w:val="20"/>
                <w:color w:val="auto"/>
              </w:rPr>
            </w:pPr>
            <w:r>
              <w:rPr>
                <w:rFonts w:ascii="Arial" w:cs="Arial" w:eastAsia="Arial" w:hAnsi="Arial"/>
                <w:sz w:val="18"/>
                <w:szCs w:val="18"/>
                <w:color w:val="auto"/>
              </w:rPr>
              <w:t>24,311</w:t>
            </w:r>
          </w:p>
        </w:tc>
        <w:tc>
          <w:tcPr>
            <w:tcW w:w="2000" w:type="dxa"/>
            <w:vAlign w:val="bottom"/>
            <w:gridSpan w:val="2"/>
          </w:tcPr>
          <w:p>
            <w:pPr>
              <w:jc w:val="right"/>
              <w:ind w:right="550"/>
              <w:spacing w:after="0"/>
              <w:rPr>
                <w:sz w:val="20"/>
                <w:szCs w:val="20"/>
                <w:color w:val="auto"/>
              </w:rPr>
            </w:pPr>
            <w:r>
              <w:rPr>
                <w:rFonts w:ascii="Arial" w:cs="Arial" w:eastAsia="Arial" w:hAnsi="Arial"/>
                <w:sz w:val="18"/>
                <w:szCs w:val="18"/>
                <w:color w:val="auto"/>
              </w:rPr>
              <w:t>5,900,735</w:t>
            </w:r>
          </w:p>
        </w:tc>
        <w:tc>
          <w:tcPr>
            <w:tcW w:w="40" w:type="dxa"/>
            <w:vAlign w:val="bottom"/>
          </w:tcPr>
          <w:p>
            <w:pPr>
              <w:spacing w:after="0"/>
              <w:rPr>
                <w:sz w:val="20"/>
                <w:szCs w:val="20"/>
                <w:color w:val="auto"/>
              </w:rPr>
            </w:pPr>
          </w:p>
        </w:tc>
      </w:tr>
      <w:tr>
        <w:trPr>
          <w:trHeight w:val="249"/>
        </w:trPr>
        <w:tc>
          <w:tcPr>
            <w:tcW w:w="2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Jay Simons</w:t>
            </w:r>
          </w:p>
        </w:tc>
        <w:tc>
          <w:tcPr>
            <w:tcW w:w="17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37,235,196</w:t>
            </w:r>
          </w:p>
        </w:tc>
        <w:tc>
          <w:tcPr>
            <w:tcW w:w="1820" w:type="dxa"/>
            <w:vAlign w:val="bottom"/>
            <w:gridSpan w:val="2"/>
            <w:shd w:val="clear" w:color="auto" w:fill="CFF0FC"/>
          </w:tcPr>
          <w:p>
            <w:pPr>
              <w:jc w:val="center"/>
              <w:ind w:right="210"/>
              <w:spacing w:after="0"/>
              <w:rPr>
                <w:sz w:val="20"/>
                <w:szCs w:val="20"/>
                <w:color w:val="auto"/>
              </w:rPr>
            </w:pPr>
            <w:r>
              <w:rPr>
                <w:rFonts w:ascii="Arial" w:cs="Arial" w:eastAsia="Arial" w:hAnsi="Arial"/>
                <w:sz w:val="18"/>
                <w:szCs w:val="18"/>
                <w:color w:val="auto"/>
                <w:w w:val="89"/>
              </w:rPr>
              <w:t>2,287,297</w:t>
            </w:r>
          </w:p>
        </w:tc>
        <w:tc>
          <w:tcPr>
            <w:tcW w:w="156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22,075</w:t>
            </w:r>
          </w:p>
        </w:tc>
        <w:tc>
          <w:tcPr>
            <w:tcW w:w="20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5,900,735</w:t>
            </w:r>
          </w:p>
        </w:tc>
        <w:tc>
          <w:tcPr>
            <w:tcW w:w="40" w:type="dxa"/>
            <w:vAlign w:val="bottom"/>
          </w:tcPr>
          <w:p>
            <w:pPr>
              <w:spacing w:after="0"/>
              <w:rPr>
                <w:sz w:val="21"/>
                <w:szCs w:val="21"/>
                <w:color w:val="auto"/>
              </w:rPr>
            </w:pPr>
          </w:p>
        </w:tc>
      </w:tr>
      <w:tr>
        <w:trPr>
          <w:trHeight w:val="230"/>
        </w:trPr>
        <w:tc>
          <w:tcPr>
            <w:tcW w:w="2720" w:type="dxa"/>
            <w:vAlign w:val="bottom"/>
          </w:tcPr>
          <w:p>
            <w:pPr>
              <w:ind w:left="100"/>
              <w:spacing w:after="0"/>
              <w:rPr>
                <w:sz w:val="20"/>
                <w:szCs w:val="20"/>
                <w:color w:val="auto"/>
              </w:rPr>
            </w:pPr>
            <w:r>
              <w:rPr>
                <w:rFonts w:ascii="Arial" w:cs="Arial" w:eastAsia="Arial" w:hAnsi="Arial"/>
                <w:sz w:val="18"/>
                <w:szCs w:val="18"/>
                <w:color w:val="auto"/>
              </w:rPr>
              <w:t>Yamini Rangan</w:t>
            </w:r>
          </w:p>
        </w:tc>
        <w:tc>
          <w:tcPr>
            <w:tcW w:w="1740" w:type="dxa"/>
            <w:vAlign w:val="bottom"/>
            <w:gridSpan w:val="2"/>
          </w:tcPr>
          <w:p>
            <w:pPr>
              <w:jc w:val="right"/>
              <w:ind w:right="510"/>
              <w:spacing w:after="0"/>
              <w:rPr>
                <w:sz w:val="20"/>
                <w:szCs w:val="20"/>
                <w:color w:val="auto"/>
              </w:rPr>
            </w:pPr>
            <w:r>
              <w:rPr>
                <w:rFonts w:ascii="Arial" w:cs="Arial" w:eastAsia="Arial" w:hAnsi="Arial"/>
                <w:sz w:val="18"/>
                <w:szCs w:val="18"/>
                <w:color w:val="auto"/>
              </w:rPr>
              <w:t>38,293,758</w:t>
            </w:r>
          </w:p>
        </w:tc>
        <w:tc>
          <w:tcPr>
            <w:tcW w:w="1820" w:type="dxa"/>
            <w:vAlign w:val="bottom"/>
            <w:gridSpan w:val="2"/>
          </w:tcPr>
          <w:p>
            <w:pPr>
              <w:jc w:val="center"/>
              <w:ind w:right="210"/>
              <w:spacing w:after="0"/>
              <w:rPr>
                <w:sz w:val="20"/>
                <w:szCs w:val="20"/>
                <w:color w:val="auto"/>
              </w:rPr>
            </w:pPr>
            <w:r>
              <w:rPr>
                <w:rFonts w:ascii="Arial" w:cs="Arial" w:eastAsia="Arial" w:hAnsi="Arial"/>
                <w:sz w:val="18"/>
                <w:szCs w:val="18"/>
                <w:color w:val="auto"/>
                <w:w w:val="89"/>
              </w:rPr>
              <w:t>1,234,207</w:t>
            </w:r>
          </w:p>
        </w:tc>
        <w:tc>
          <w:tcPr>
            <w:tcW w:w="1560" w:type="dxa"/>
            <w:vAlign w:val="bottom"/>
            <w:gridSpan w:val="2"/>
          </w:tcPr>
          <w:p>
            <w:pPr>
              <w:jc w:val="right"/>
              <w:ind w:right="590"/>
              <w:spacing w:after="0"/>
              <w:rPr>
                <w:sz w:val="20"/>
                <w:szCs w:val="20"/>
                <w:color w:val="auto"/>
              </w:rPr>
            </w:pPr>
            <w:r>
              <w:rPr>
                <w:rFonts w:ascii="Arial" w:cs="Arial" w:eastAsia="Arial" w:hAnsi="Arial"/>
                <w:sz w:val="18"/>
                <w:szCs w:val="18"/>
                <w:color w:val="auto"/>
              </w:rPr>
              <w:t>16,603</w:t>
            </w:r>
          </w:p>
        </w:tc>
        <w:tc>
          <w:tcPr>
            <w:tcW w:w="2000" w:type="dxa"/>
            <w:vAlign w:val="bottom"/>
            <w:gridSpan w:val="2"/>
          </w:tcPr>
          <w:p>
            <w:pPr>
              <w:jc w:val="right"/>
              <w:ind w:right="550"/>
              <w:spacing w:after="0"/>
              <w:rPr>
                <w:sz w:val="20"/>
                <w:szCs w:val="20"/>
                <w:color w:val="auto"/>
              </w:rPr>
            </w:pPr>
            <w:r>
              <w:rPr>
                <w:rFonts w:ascii="Arial" w:cs="Arial" w:eastAsia="Arial" w:hAnsi="Arial"/>
                <w:sz w:val="18"/>
                <w:szCs w:val="18"/>
                <w:color w:val="auto"/>
              </w:rPr>
              <w:t>5,900,735</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 Ratification of Appointment of Independent Registered Public Accounting Firm</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stockholders ratified the appointment of PricewaterhouseCoopers LLP to perform the audit of the Company’s consolidated financial statements for the fiscal year ending December 31, 2023. The results of such vote were as follows:</w:t>
      </w:r>
    </w:p>
    <w:p>
      <w:pPr>
        <w:spacing w:after="0" w:line="1" w:lineRule="exact"/>
        <w:rPr>
          <w:sz w:val="20"/>
          <w:szCs w:val="20"/>
          <w:color w:val="auto"/>
        </w:rPr>
      </w:pPr>
    </w:p>
    <w:p>
      <w:pPr>
        <w:ind w:left="3640"/>
        <w:spacing w:after="0"/>
        <w:tabs>
          <w:tab w:leader="none" w:pos="5080" w:val="left"/>
          <w:tab w:leader="none" w:pos="6760" w:val="left"/>
        </w:tabs>
        <w:rPr>
          <w:sz w:val="20"/>
          <w:szCs w:val="20"/>
          <w:color w:val="auto"/>
        </w:rPr>
      </w:pPr>
      <w:r>
        <w:rPr>
          <w:rFonts w:ascii="Arial" w:cs="Arial" w:eastAsia="Arial" w:hAnsi="Arial"/>
          <w:sz w:val="18"/>
          <w:szCs w:val="18"/>
          <w:b w:val="1"/>
          <w:bCs w:val="1"/>
          <w:color w:val="auto"/>
        </w:rPr>
        <w:t>Votes For</w:t>
      </w:r>
      <w:r>
        <w:rPr>
          <w:sz w:val="20"/>
          <w:szCs w:val="20"/>
          <w:color w:val="auto"/>
        </w:rPr>
        <w:tab/>
      </w:r>
      <w:r>
        <w:rPr>
          <w:rFonts w:ascii="Arial" w:cs="Arial" w:eastAsia="Arial" w:hAnsi="Arial"/>
          <w:sz w:val="18"/>
          <w:szCs w:val="18"/>
          <w:b w:val="1"/>
          <w:bCs w:val="1"/>
          <w:color w:val="auto"/>
        </w:rPr>
        <w:t>Votes Against</w:t>
      </w:r>
      <w:r>
        <w:rPr>
          <w:sz w:val="20"/>
          <w:szCs w:val="20"/>
          <w:color w:val="auto"/>
        </w:rPr>
        <w:tab/>
      </w:r>
      <w:r>
        <w:rPr>
          <w:rFonts w:ascii="Arial" w:cs="Arial" w:eastAsia="Arial" w:hAnsi="Arial"/>
          <w:sz w:val="15"/>
          <w:szCs w:val="15"/>
          <w:b w:val="1"/>
          <w:bCs w:val="1"/>
          <w:color w:val="auto"/>
        </w:rPr>
        <w:t>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26035</wp:posOffset>
            </wp:positionV>
            <wp:extent cx="2931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4" w:lineRule="exact"/>
        <w:rPr>
          <w:sz w:val="20"/>
          <w:szCs w:val="20"/>
          <w:color w:val="auto"/>
        </w:rPr>
      </w:pPr>
    </w:p>
    <w:p>
      <w:pPr>
        <w:ind w:left="3600"/>
        <w:spacing w:after="0"/>
        <w:tabs>
          <w:tab w:leader="none" w:pos="5360" w:val="left"/>
          <w:tab w:leader="none" w:pos="6960" w:val="left"/>
        </w:tabs>
        <w:rPr>
          <w:sz w:val="20"/>
          <w:szCs w:val="20"/>
          <w:color w:val="auto"/>
        </w:rPr>
      </w:pPr>
      <w:r>
        <w:rPr>
          <w:rFonts w:ascii="Arial" w:cs="Arial" w:eastAsia="Arial" w:hAnsi="Arial"/>
          <w:sz w:val="18"/>
          <w:szCs w:val="18"/>
          <w:color w:val="auto"/>
        </w:rPr>
        <w:t>45,392,875</w:t>
      </w:r>
      <w:r>
        <w:rPr>
          <w:sz w:val="20"/>
          <w:szCs w:val="20"/>
          <w:color w:val="auto"/>
        </w:rPr>
        <w:tab/>
      </w:r>
      <w:r>
        <w:rPr>
          <w:rFonts w:ascii="Arial" w:cs="Arial" w:eastAsia="Arial" w:hAnsi="Arial"/>
          <w:sz w:val="18"/>
          <w:szCs w:val="18"/>
          <w:color w:val="auto"/>
        </w:rPr>
        <w:t>27,624</w:t>
      </w:r>
      <w:r>
        <w:rPr>
          <w:sz w:val="20"/>
          <w:szCs w:val="20"/>
          <w:color w:val="auto"/>
        </w:rPr>
        <w:tab/>
      </w:r>
      <w:r>
        <w:rPr>
          <w:rFonts w:ascii="Arial" w:cs="Arial" w:eastAsia="Arial" w:hAnsi="Arial"/>
          <w:sz w:val="16"/>
          <w:szCs w:val="16"/>
          <w:color w:val="auto"/>
        </w:rPr>
        <w:t>24,804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-130175</wp:posOffset>
            </wp:positionV>
            <wp:extent cx="320611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 – To approve on an advisory non-binding basis, the compensation of the Company’s named executive officers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stockholders approved the non-binding, advisory proposal to approve the compensation of the Company’s named executive officers. The results of such vote were as follows:</w:t>
      </w:r>
    </w:p>
    <w:p>
      <w:pPr>
        <w:spacing w:after="0" w:line="207"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Broker Non-</w:t>
            </w:r>
          </w:p>
        </w:tc>
      </w:tr>
      <w:tr>
        <w:trPr>
          <w:trHeight w:val="241"/>
        </w:trPr>
        <w:tc>
          <w:tcPr>
            <w:tcW w:w="1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Votes</w:t>
            </w:r>
          </w:p>
        </w:tc>
      </w:tr>
      <w:tr>
        <w:trPr>
          <w:trHeight w:val="243"/>
        </w:trPr>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37,473,086</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2,054,544</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5,900,735</w:t>
            </w: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Proposal 4 – To consider a non-binding proposal to give advisory approval with respect to the frequency that stockholders will vote on the compensation of the Company’s named executive officers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stockholders voted, on a non-binding, advisory basis, that future advisory votes on the compensation of the Company’s named executive officers should be submitted to stockholders every year. The results of such vote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Votes For One</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 Three</w:t>
            </w: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(1) Year</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Two (2) Years</w:t>
            </w:r>
          </w:p>
        </w:tc>
        <w:tc>
          <w:tcPr>
            <w:tcW w:w="1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(3) Years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Broker Non-</w:t>
            </w:r>
          </w:p>
        </w:tc>
        <w:tc>
          <w:tcPr>
            <w:tcW w:w="1460" w:type="dxa"/>
            <w:vAlign w:val="bottom"/>
          </w:tcPr>
          <w:p>
            <w:pPr>
              <w:spacing w:after="0"/>
              <w:rPr>
                <w:sz w:val="18"/>
                <w:szCs w:val="18"/>
                <w:color w:val="auto"/>
              </w:rPr>
            </w:pPr>
          </w:p>
        </w:tc>
      </w:tr>
      <w:tr>
        <w:trPr>
          <w:trHeight w:val="241"/>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Votes</w:t>
            </w:r>
          </w:p>
        </w:tc>
        <w:tc>
          <w:tcPr>
            <w:tcW w:w="1460" w:type="dxa"/>
            <w:vAlign w:val="bottom"/>
          </w:tcPr>
          <w:p>
            <w:pPr>
              <w:spacing w:after="0"/>
              <w:rPr>
                <w:sz w:val="20"/>
                <w:szCs w:val="20"/>
                <w:color w:val="auto"/>
              </w:rPr>
            </w:pPr>
          </w:p>
        </w:tc>
      </w:tr>
      <w:tr>
        <w:trPr>
          <w:trHeight w:val="243"/>
        </w:trPr>
        <w:tc>
          <w:tcPr>
            <w:tcW w:w="1460" w:type="dxa"/>
            <w:vAlign w:val="bottom"/>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39,348,506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12,624</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171,648</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11,790</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5,900,735</w:t>
            </w:r>
          </w:p>
        </w:tc>
        <w:tc>
          <w:tcPr>
            <w:tcW w:w="1460" w:type="dxa"/>
            <w:vAlign w:val="bottom"/>
          </w:tcPr>
          <w:p>
            <w:pPr>
              <w:spacing w:after="0"/>
              <w:rPr>
                <w:sz w:val="21"/>
                <w:szCs w:val="21"/>
                <w:color w:val="auto"/>
              </w:rPr>
            </w:pPr>
          </w:p>
        </w:tc>
      </w:tr>
      <w:tr>
        <w:trPr>
          <w:trHeight w:val="480"/>
        </w:trPr>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18"/>
          <w:szCs w:val="18"/>
          <w:color w:val="auto"/>
        </w:rPr>
        <w:t>Following the Annual Meeting, the Board of Directors considered the voting results set forth above and other factors and determined that the Company would continue to hold future advisory votes on the compensation of its named executive officers on an annual basis, until the matter is again submitted to the Company’s stockholders for an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1510030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HubSpot, Inc.</w:t>
      </w:r>
    </w:p>
    <w:p>
      <w:pPr>
        <w:spacing w:after="0" w:line="279" w:lineRule="exact"/>
        <w:rPr>
          <w:sz w:val="20"/>
          <w:szCs w:val="20"/>
          <w:color w:val="auto"/>
        </w:rPr>
      </w:pPr>
    </w:p>
    <w:p>
      <w:pPr>
        <w:ind w:left="60"/>
        <w:spacing w:after="0"/>
        <w:tabs>
          <w:tab w:leader="none" w:pos="5660" w:val="left"/>
          <w:tab w:leader="none" w:pos="6240" w:val="left"/>
        </w:tabs>
        <w:rPr>
          <w:sz w:val="20"/>
          <w:szCs w:val="20"/>
          <w:color w:val="auto"/>
        </w:rPr>
      </w:pPr>
      <w:r>
        <w:rPr>
          <w:rFonts w:ascii="Arial" w:cs="Arial" w:eastAsia="Arial" w:hAnsi="Arial"/>
          <w:sz w:val="18"/>
          <w:szCs w:val="18"/>
          <w:color w:val="auto"/>
        </w:rPr>
        <w:t>June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Alyssa Harvey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23495</wp:posOffset>
            </wp:positionV>
            <wp:extent cx="3171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Alyssa Harvey Dawson</w:t>
      </w:r>
    </w:p>
    <w:p>
      <w:pPr>
        <w:spacing w:after="0" w:line="3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2023-06-12T15:24:09Z</dcterms:created>
  <dcterms:modified xsi:type="dcterms:W3CDTF">2023-06-12T15:24:09Z</dcterms:modified>
</cp:coreProperties>
</file>