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0001741660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right"/>
        <w:ind w:left="2" w:right="144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Bueker Kathryn</w:t>
      </w:r>
    </w:p>
    <w:p>
      <w:pPr>
        <w:spacing w:after="0" w:line="1"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307500.00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52693110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10/06/2025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615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10/01/2025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Kathryn A. Bueker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09/08/2025 119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59500.00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02/18/2025</w:t>
      </w:r>
    </w:p>
    <w:p>
      <w:pPr>
        <w:spacing w:after="0" w:line="623" w:lineRule="exact"/>
        <w:rPr>
          <w:sz w:val="20"/>
          <w:szCs w:val="20"/>
          <w:color w:val="auto"/>
        </w:rPr>
      </w:pPr>
    </w:p>
    <w:p>
      <w:pPr>
        <w:sectPr>
          <w:pgSz w:w="11900" w:h="16838" w:orient="portrait"/>
          <w:cols w:equalWidth="0" w:num="2">
            <w:col w:w="3380" w:space="560"/>
            <w:col w:w="73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Services LLC, as attorney-in-fact for Kathryn A. Bueker</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2025-10-06T14:39:48Z</dcterms:created>
  <dcterms:modified xsi:type="dcterms:W3CDTF">2025-10-06T14:39:48Z</dcterms:modified>
</cp:coreProperties>
</file>