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HUBSPOT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443573100</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2020</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Statement)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left="540" w:right="8019" w:hanging="532"/>
        <w:spacing w:after="0" w:line="279"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172"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52-0556948</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320" w:right="6019" w:hanging="312"/>
        <w:spacing w:after="0" w:line="235"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812,885</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3,016,810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4"/>
          <w:szCs w:val="24"/>
          <w:color w:val="auto"/>
        </w:rPr>
      </w:pPr>
    </w:p>
    <w:p>
      <w:pPr>
        <w:ind w:left="320" w:right="3499" w:hanging="312"/>
        <w:spacing w:after="0" w:line="235"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3,016,810</w:t>
      </w:r>
    </w:p>
    <w:p>
      <w:pPr>
        <w:spacing w:after="0" w:line="208"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860"/>
        <w:spacing w:after="0" w:line="238" w:lineRule="auto"/>
        <w:rPr>
          <w:sz w:val="20"/>
          <w:szCs w:val="20"/>
          <w:color w:val="auto"/>
        </w:rPr>
      </w:pPr>
      <w:r>
        <w:rPr>
          <w:rFonts w:ascii="Courier New" w:cs="Courier New" w:eastAsia="Courier New" w:hAnsi="Courier New"/>
          <w:sz w:val="18"/>
          <w:szCs w:val="18"/>
          <w:color w:val="auto"/>
        </w:rPr>
        <w:t>6.5%</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HUBSPOT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25 FIRST STREET, 2ND FLOOR, CAMBRIDGE, MASSACHUSETTS 02141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238" w:lineRule="auto"/>
        <w:rPr>
          <w:sz w:val="20"/>
          <w:szCs w:val="20"/>
          <w:color w:val="auto"/>
        </w:rPr>
      </w:pPr>
      <w:r>
        <w:rPr>
          <w:rFonts w:ascii="Courier New" w:cs="Courier New" w:eastAsia="Courier New" w:hAnsi="Courier New"/>
          <w:sz w:val="18"/>
          <w:szCs w:val="18"/>
          <w:color w:val="auto"/>
        </w:rPr>
        <w:t>(1) T. ROWE PRICE ASSOCIATES, INC. ("Price Associates")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38" w:lineRule="auto"/>
        <w:rPr>
          <w:sz w:val="20"/>
          <w:szCs w:val="20"/>
          <w:color w:val="auto"/>
        </w:rPr>
      </w:pPr>
      <w:r>
        <w:rPr>
          <w:rFonts w:ascii="Courier New" w:cs="Courier New" w:eastAsia="Courier New" w:hAnsi="Courier New"/>
          <w:sz w:val="18"/>
          <w:szCs w:val="18"/>
          <w:color w:val="auto"/>
        </w:rPr>
        <w:t>100 E. Pratt Street, Baltimore, MD 21202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238" w:lineRule="auto"/>
        <w:rPr>
          <w:sz w:val="20"/>
          <w:szCs w:val="20"/>
          <w:color w:val="auto"/>
        </w:rPr>
      </w:pPr>
      <w:r>
        <w:rPr>
          <w:rFonts w:ascii="Courier New" w:cs="Courier New" w:eastAsia="Courier New" w:hAnsi="Courier New"/>
          <w:sz w:val="18"/>
          <w:szCs w:val="18"/>
          <w:color w:val="auto"/>
        </w:rPr>
        <w:t>(1) Maryland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ectPr>
          <w:pgSz w:w="11900" w:h="16848" w:orient="portrait"/>
          <w:cols w:equalWidth="0" w:num="1">
            <w:col w:w="10139"/>
          </w:cols>
          <w:pgMar w:left="32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2(e) Cusip Number: 443573100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4" w:lineRule="exact"/>
        <w:rPr>
          <w:sz w:val="20"/>
          <w:szCs w:val="20"/>
          <w:color w:val="auto"/>
        </w:rPr>
      </w:pPr>
    </w:p>
    <w:p>
      <w:pPr>
        <w:ind w:left="420" w:right="2859" w:hanging="412"/>
        <w:spacing w:after="0" w:line="235"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208" w:lineRule="exact"/>
        <w:rPr>
          <w:sz w:val="20"/>
          <w:szCs w:val="20"/>
          <w:color w:val="auto"/>
        </w:rPr>
      </w:pPr>
    </w:p>
    <w:p>
      <w:pPr>
        <w:ind w:left="860" w:right="2759" w:hanging="841"/>
        <w:spacing w:after="0" w:line="235"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860" w:right="2019" w:hanging="852"/>
        <w:spacing w:after="0" w:line="275" w:lineRule="auto"/>
        <w:tabs>
          <w:tab w:leader="none" w:pos="8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181" w:lineRule="exact"/>
        <w:rPr>
          <w:rFonts w:ascii="Courier New" w:cs="Courier New" w:eastAsia="Courier New" w:hAnsi="Courier New"/>
          <w:sz w:val="16"/>
          <w:szCs w:val="16"/>
          <w:color w:val="auto"/>
        </w:rPr>
      </w:pPr>
    </w:p>
    <w:p>
      <w:pPr>
        <w:ind w:left="860" w:right="20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209" w:lineRule="exact"/>
        <w:rPr>
          <w:rFonts w:ascii="Courier New" w:cs="Courier New" w:eastAsia="Courier New" w:hAnsi="Courier New"/>
          <w:sz w:val="16"/>
          <w:szCs w:val="16"/>
          <w:color w:val="auto"/>
        </w:rPr>
      </w:pPr>
    </w:p>
    <w:p>
      <w:pPr>
        <w:ind w:left="860" w:right="19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08" w:lineRule="exact"/>
        <w:rPr>
          <w:rFonts w:ascii="Courier New" w:cs="Courier New" w:eastAsia="Courier New" w:hAnsi="Courier New"/>
          <w:sz w:val="16"/>
          <w:szCs w:val="16"/>
          <w:color w:val="auto"/>
        </w:rPr>
      </w:pPr>
    </w:p>
    <w:p>
      <w:pPr>
        <w:ind w:left="860" w:right="1919" w:hanging="852"/>
        <w:spacing w:after="0" w:line="237"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the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09" w:lineRule="exact"/>
        <w:rPr>
          <w:sz w:val="20"/>
          <w:szCs w:val="20"/>
          <w:color w:val="auto"/>
        </w:rPr>
      </w:pPr>
    </w:p>
    <w:p>
      <w:pPr>
        <w:ind w:left="860" w:right="1919" w:hanging="841"/>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860" w:right="3279" w:hanging="841"/>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4" w:lineRule="exact"/>
        <w:rPr>
          <w:sz w:val="20"/>
          <w:szCs w:val="20"/>
          <w:color w:val="auto"/>
        </w:rPr>
      </w:pPr>
    </w:p>
    <w:p>
      <w:pPr>
        <w:ind w:left="960" w:right="20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T. Rowe Price Associates, Inc. hereby declares and affirms that the filing</w:t>
      </w:r>
    </w:p>
    <w:p>
      <w:pPr>
        <w:spacing w:after="0" w:line="9" w:lineRule="exact"/>
        <w:rPr>
          <w:sz w:val="20"/>
          <w:szCs w:val="20"/>
          <w:color w:val="auto"/>
        </w:rPr>
      </w:pPr>
    </w:p>
    <w:p>
      <w:pPr>
        <w:jc w:val="both"/>
        <w:ind w:left="960" w:right="2339"/>
        <w:spacing w:after="0" w:line="236" w:lineRule="auto"/>
        <w:rPr>
          <w:sz w:val="20"/>
          <w:szCs w:val="20"/>
          <w:color w:val="auto"/>
        </w:rPr>
      </w:pPr>
      <w:r>
        <w:rPr>
          <w:rFonts w:ascii="Courier New" w:cs="Courier New" w:eastAsia="Courier New" w:hAnsi="Courier New"/>
          <w:sz w:val="18"/>
          <w:szCs w:val="18"/>
          <w:color w:val="auto"/>
        </w:rPr>
        <w:t>of Schedule 13G shall not be construed as an admission that Price Associates is the beneficial owner of the securities referred to, which beneficial ownership is expressly denied.</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960" w:right="20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38" w:lineRule="auto"/>
        <w:rPr>
          <w:sz w:val="20"/>
          <w:szCs w:val="20"/>
          <w:color w:val="auto"/>
        </w:rPr>
      </w:pPr>
      <w:r>
        <w:rPr>
          <w:rFonts w:ascii="Courier New" w:cs="Courier New" w:eastAsia="Courier New" w:hAnsi="Courier New"/>
          <w:sz w:val="18"/>
          <w:szCs w:val="18"/>
          <w:color w:val="auto"/>
        </w:rPr>
        <w:t>Date: February 16, 2021</w:t>
      </w:r>
    </w:p>
    <w:p>
      <w:pPr>
        <w:spacing w:after="0" w:line="238" w:lineRule="auto"/>
        <w:rPr>
          <w:sz w:val="20"/>
          <w:szCs w:val="20"/>
          <w:color w:val="auto"/>
        </w:rPr>
      </w:pPr>
      <w:r>
        <w:rPr>
          <w:rFonts w:ascii="Courier New" w:cs="Courier New" w:eastAsia="Courier New" w:hAnsi="Courier New"/>
          <w:sz w:val="18"/>
          <w:szCs w:val="18"/>
          <w:color w:val="auto"/>
        </w:rPr>
        <w:t>Signature: /s/ David Oestreicher</w:t>
      </w:r>
    </w:p>
    <w:p>
      <w:pPr>
        <w:spacing w:after="0"/>
        <w:rPr>
          <w:sz w:val="20"/>
          <w:szCs w:val="20"/>
          <w:color w:val="auto"/>
        </w:rPr>
      </w:pPr>
      <w:r>
        <w:rPr>
          <w:rFonts w:ascii="Courier New" w:cs="Courier New" w:eastAsia="Courier New" w:hAnsi="Courier New"/>
          <w:sz w:val="18"/>
          <w:szCs w:val="18"/>
          <w:color w:val="auto"/>
        </w:rPr>
        <w:t>Name &amp; Title: David Oestreicher, Executive Vice President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12/31/2020</w:t>
      </w:r>
    </w:p>
    <w:sectPr>
      <w:pgSz w:w="11900" w:h="16838" w:orient="portrait"/>
      <w:cols w:equalWidth="0" w:num="1">
        <w:col w:w="10139"/>
      </w:cols>
      <w:pgMar w:left="320" w:top="339" w:right="1440" w:bottom="94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2021-02-16T11:38:28Z</dcterms:created>
  <dcterms:modified xsi:type="dcterms:W3CDTF">2021-02-16T11:38:28Z</dcterms:modified>
</cp:coreProperties>
</file>