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HubSpot,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001-36680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20-2632791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Two Canal Park</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482-7768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HUBS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11, 2026, the Board of Directors (the “Board”) of HubSpot, Inc. (the “Company”) approved an amendment to the Company’s sixth amended and restated by-laws (the “By-law Amendment”), effective immediately, to designate the federal district courts of the United States as the exclusive forum for resolving any complaint asserting a cause of action arising under the Securities Act of 1933, as amended, the Securities Exchange Act of 1934, as amended, or the respective rules and regulations promulgated thereunder, unless the Company consents in writing to the selection of an alternative forum. The Board approved the By-law Amendment in response to recent amendments to the Generate Corporation Law of the State of Delaware regarding such forum selection provisions.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By-law Amendment does not purport to be complete and is qualified in its entirety by reference to the full text of the By-law Amendment, a copy of which is filed as Exhibit 3.1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88"/>
        </w:trPr>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r>
      <w:tr>
        <w:trPr>
          <w:trHeight w:val="257"/>
        </w:trPr>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p>
        </w:tc>
        <w:tc>
          <w:tcPr>
            <w:tcW w:w="640" w:type="dxa"/>
            <w:vAlign w:val="bottom"/>
          </w:tcPr>
          <w:p>
            <w:pPr>
              <w:spacing w:after="0"/>
              <w:rPr>
                <w:sz w:val="22"/>
                <w:szCs w:val="22"/>
                <w:color w:val="auto"/>
              </w:rPr>
            </w:pPr>
          </w:p>
        </w:tc>
        <w:tc>
          <w:tcPr>
            <w:tcW w:w="102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0000FF"/>
              </w:rPr>
              <w:t>Amendment No. 1 to Sixth Amended and Restated By-laws of HubSpot, Inc.</w:t>
            </w:r>
          </w:p>
        </w:tc>
      </w:tr>
      <w:tr>
        <w:trPr>
          <w:trHeight w:val="20"/>
        </w:trPr>
        <w:tc>
          <w:tcPr>
            <w:tcW w:w="10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439"/>
        </w:trPr>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00"/>
        </w:trPr>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HubSpot,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Erika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Erika Fisher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AMENDED AND RESTATED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Section 8 of Article VI of the Sixth Amended and Restated By-laws of the Corporation (the “By-laws”) is hereby amended and restated in its entirety as follows:</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 of Delaware Courts or the United States Federal District Courts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herein amended, the provisions of the By-laws shall remain in full force and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2026-03-11T16:31:02Z</dcterms:created>
  <dcterms:modified xsi:type="dcterms:W3CDTF">2026-03-11T16:31:02Z</dcterms:modified>
</cp:coreProperties>
</file>